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2207F81" w:rsidR="009B1089" w:rsidRPr="00FE1289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FE1289">
        <w:rPr>
          <w:rFonts w:ascii="Century Gothic" w:hAnsi="Century Gothic" w:cs="Arial"/>
          <w:b/>
          <w:sz w:val="24"/>
          <w:szCs w:val="24"/>
        </w:rPr>
        <w:t xml:space="preserve"> </w:t>
      </w:r>
      <w:r w:rsidR="009822F4">
        <w:rPr>
          <w:rFonts w:ascii="Century Gothic" w:hAnsi="Century Gothic" w:cs="Arial"/>
          <w:b/>
          <w:sz w:val="24"/>
          <w:szCs w:val="24"/>
        </w:rPr>
        <w:t xml:space="preserve">Complementar </w:t>
      </w:r>
      <w:r w:rsidR="00846625" w:rsidRPr="00FE1289">
        <w:rPr>
          <w:rFonts w:ascii="Century Gothic" w:hAnsi="Century Gothic" w:cs="Arial"/>
          <w:b/>
          <w:sz w:val="24"/>
          <w:szCs w:val="24"/>
        </w:rPr>
        <w:t>n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E1289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9822F4">
        <w:rPr>
          <w:rFonts w:ascii="Century Gothic" w:hAnsi="Century Gothic" w:cs="Arial"/>
          <w:b/>
          <w:caps/>
          <w:sz w:val="24"/>
          <w:szCs w:val="24"/>
        </w:rPr>
        <w:t>05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E1289">
        <w:rPr>
          <w:rFonts w:ascii="Century Gothic" w:hAnsi="Century Gothic" w:cs="Arial"/>
          <w:b/>
          <w:caps/>
          <w:sz w:val="24"/>
          <w:szCs w:val="24"/>
        </w:rPr>
        <w:t>2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E1289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77CDAE3B" w:rsidR="003D220C" w:rsidRPr="00FE1289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sz w:val="24"/>
          <w:szCs w:val="24"/>
        </w:rPr>
        <w:t xml:space="preserve">Data: </w:t>
      </w:r>
      <w:r w:rsidR="009822F4">
        <w:rPr>
          <w:rFonts w:ascii="Century Gothic" w:hAnsi="Century Gothic" w:cs="Arial"/>
          <w:sz w:val="24"/>
          <w:szCs w:val="24"/>
        </w:rPr>
        <w:t>22</w:t>
      </w:r>
      <w:r w:rsidR="006C5D68">
        <w:rPr>
          <w:rFonts w:ascii="Century Gothic" w:hAnsi="Century Gothic" w:cs="Arial"/>
          <w:sz w:val="24"/>
          <w:szCs w:val="24"/>
        </w:rPr>
        <w:t xml:space="preserve"> de agosto</w:t>
      </w:r>
      <w:r w:rsidR="002046B8" w:rsidRPr="00FE1289">
        <w:rPr>
          <w:rFonts w:ascii="Century Gothic" w:hAnsi="Century Gothic" w:cs="Arial"/>
          <w:sz w:val="24"/>
          <w:szCs w:val="24"/>
        </w:rPr>
        <w:t xml:space="preserve"> </w:t>
      </w:r>
      <w:r w:rsidR="00C23797" w:rsidRPr="00FE1289">
        <w:rPr>
          <w:rFonts w:ascii="Century Gothic" w:hAnsi="Century Gothic" w:cs="Arial"/>
          <w:sz w:val="24"/>
          <w:szCs w:val="24"/>
        </w:rPr>
        <w:t>d</w:t>
      </w:r>
      <w:r w:rsidRPr="00FE1289">
        <w:rPr>
          <w:rFonts w:ascii="Century Gothic" w:hAnsi="Century Gothic" w:cs="Arial"/>
          <w:sz w:val="24"/>
          <w:szCs w:val="24"/>
        </w:rPr>
        <w:t>e 202</w:t>
      </w:r>
      <w:r w:rsidR="00580DB4" w:rsidRPr="00FE1289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FE1289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6AEF4399" w:rsidR="009B1089" w:rsidRPr="00FE1289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EC6FC1">
        <w:rPr>
          <w:rFonts w:ascii="Century Gothic" w:hAnsi="Century Gothic" w:cs="Arial"/>
          <w:b/>
          <w:sz w:val="24"/>
          <w:szCs w:val="24"/>
        </w:rPr>
        <w:t>6</w:t>
      </w:r>
      <w:r w:rsidR="009822F4">
        <w:rPr>
          <w:rFonts w:ascii="Century Gothic" w:hAnsi="Century Gothic" w:cs="Arial"/>
          <w:b/>
          <w:sz w:val="24"/>
          <w:szCs w:val="24"/>
        </w:rPr>
        <w:t>4</w:t>
      </w:r>
      <w:r w:rsidR="001C2E56" w:rsidRPr="00FE1289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E1289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7CBE9ED6" w:rsidR="009B1089" w:rsidRPr="00FE1289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E1289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E1289">
        <w:rPr>
          <w:rFonts w:ascii="Century Gothic" w:hAnsi="Century Gothic" w:cs="Arial"/>
          <w:sz w:val="24"/>
          <w:szCs w:val="24"/>
        </w:rPr>
        <w:t xml:space="preserve"> </w:t>
      </w:r>
      <w:r w:rsidR="000F704E" w:rsidRPr="00FE1289">
        <w:rPr>
          <w:rFonts w:ascii="Century Gothic" w:hAnsi="Century Gothic" w:cs="Arial"/>
          <w:sz w:val="24"/>
          <w:szCs w:val="24"/>
        </w:rPr>
        <w:t>ordinária</w:t>
      </w:r>
      <w:r w:rsidR="009822F4">
        <w:rPr>
          <w:rFonts w:ascii="Century Gothic" w:hAnsi="Century Gothic" w:cs="Arial"/>
          <w:sz w:val="24"/>
          <w:szCs w:val="24"/>
        </w:rPr>
        <w:t xml:space="preserve"> e extraordinária</w:t>
      </w:r>
      <w:r w:rsidRPr="00FE1289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E1289">
        <w:rPr>
          <w:rFonts w:ascii="Century Gothic" w:hAnsi="Century Gothic" w:cs="Arial"/>
          <w:sz w:val="24"/>
          <w:szCs w:val="24"/>
        </w:rPr>
        <w:t>unanimidade d</w:t>
      </w:r>
      <w:r w:rsidRPr="00FE1289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E1289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00C0A24E" w:rsidR="0016342E" w:rsidRPr="00FE1289" w:rsidRDefault="009822F4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ACRESCENTA O INCISO X AO ART. 255 DA LEI COMPLEMENTAR Nº 141, DE 10 DE JANEIRO DE 2022.</w:t>
      </w:r>
    </w:p>
    <w:p w14:paraId="0EDFA740" w14:textId="351FF594" w:rsidR="00314437" w:rsidRPr="00FE1289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0D1690C9" w14:textId="77777777" w:rsidR="00006719" w:rsidRPr="00FE1289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1300DCA" w14:textId="77777777" w:rsidR="00FA4976" w:rsidRP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A4976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1º Acrescenta o Inciso X, ao Art. 255, da Lei Complementar nº 141, de 10 de janeiro de 2022, que</w:t>
      </w:r>
      <w:r w:rsidRPr="00FA4976">
        <w:rPr>
          <w:rFonts w:ascii="Century Gothic" w:eastAsia="Times New Roman" w:hAnsi="Century Gothic" w:cs="Century Gothic"/>
          <w:b/>
          <w:bCs/>
          <w:kern w:val="1"/>
          <w:sz w:val="24"/>
          <w:szCs w:val="24"/>
          <w:lang w:eastAsia="pt-BR"/>
        </w:rPr>
        <w:t xml:space="preserve"> </w:t>
      </w:r>
      <w:r w:rsidRPr="00FA4976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 xml:space="preserve">dispõe sobre o regime jurídico único dos servidores públicos municipais do Poder Legislativo, do Poder Executivo e suas Autarquias e Fundações Públicas, com a seguinte redação: </w:t>
      </w:r>
    </w:p>
    <w:p w14:paraId="2B071DFC" w14:textId="77777777" w:rsid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</w:p>
    <w:p w14:paraId="1B8DCDE2" w14:textId="77777777" w:rsidR="00FA4976" w:rsidRP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  <w:r w:rsidRPr="00FA4976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“Art. 255 (...)</w:t>
      </w:r>
    </w:p>
    <w:p w14:paraId="2A20263A" w14:textId="77777777" w:rsidR="00FA4976" w:rsidRP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  <w:r w:rsidRPr="00FA4976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I – (...)</w:t>
      </w:r>
    </w:p>
    <w:p w14:paraId="2E6751B8" w14:textId="77777777" w:rsidR="00FA4976" w:rsidRP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  <w:r w:rsidRPr="00FA4976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X – </w:t>
      </w:r>
      <w:proofErr w:type="gramStart"/>
      <w:r w:rsidRPr="00FA4976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admissão</w:t>
      </w:r>
      <w:proofErr w:type="gramEnd"/>
      <w:r w:rsidRPr="00FA4976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 de pessoal indispensável à continuidade dos serviços afetos às políticas públicas de assistência social”. </w:t>
      </w:r>
    </w:p>
    <w:p w14:paraId="4CB6C0BB" w14:textId="77777777" w:rsidR="00FA4976" w:rsidRP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1A0CAB50" w14:textId="77777777" w:rsidR="00FA4976" w:rsidRP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7314ECAF" w14:textId="391DB178" w:rsidR="00FA4976" w:rsidRPr="00FA4976" w:rsidRDefault="00FA4976" w:rsidP="00FA4976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FA4976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2º Esta Lei Complementar entra em vigor na data de sua publicação.</w:t>
      </w:r>
    </w:p>
    <w:p w14:paraId="0A7FFB7A" w14:textId="77777777" w:rsidR="00FA4976" w:rsidRPr="00FB662A" w:rsidRDefault="00FA4976" w:rsidP="003D0E70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1ECEC217" w14:textId="77777777" w:rsidR="00FB662A" w:rsidRPr="00FB662A" w:rsidRDefault="00FB662A" w:rsidP="00FB662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FA2B08A" w14:textId="5C3C4A60" w:rsidR="00892D77" w:rsidRPr="00FE1289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6C5D68">
        <w:rPr>
          <w:rFonts w:ascii="Century Gothic" w:hAnsi="Century Gothic" w:cs="Tahoma"/>
          <w:sz w:val="24"/>
          <w:szCs w:val="24"/>
        </w:rPr>
        <w:t>3</w:t>
      </w:r>
      <w:r w:rsidR="00FA4976">
        <w:rPr>
          <w:rFonts w:ascii="Century Gothic" w:hAnsi="Century Gothic" w:cs="Tahoma"/>
          <w:sz w:val="24"/>
          <w:szCs w:val="24"/>
        </w:rPr>
        <w:t>1</w:t>
      </w:r>
      <w:bookmarkStart w:id="0" w:name="_GoBack"/>
      <w:bookmarkEnd w:id="0"/>
      <w:r w:rsidR="006C5D68">
        <w:rPr>
          <w:rFonts w:ascii="Century Gothic" w:hAnsi="Century Gothic" w:cs="Tahoma"/>
          <w:sz w:val="24"/>
          <w:szCs w:val="24"/>
        </w:rPr>
        <w:t xml:space="preserve"> </w:t>
      </w:r>
      <w:r w:rsidR="00FE1289">
        <w:rPr>
          <w:rFonts w:ascii="Century Gothic" w:hAnsi="Century Gothic" w:cs="Tahoma"/>
          <w:sz w:val="24"/>
          <w:szCs w:val="24"/>
        </w:rPr>
        <w:t xml:space="preserve">de agosto </w:t>
      </w:r>
      <w:r w:rsidRPr="00FE1289">
        <w:rPr>
          <w:rFonts w:ascii="Century Gothic" w:hAnsi="Century Gothic" w:cs="Tahoma"/>
          <w:sz w:val="24"/>
          <w:szCs w:val="24"/>
        </w:rPr>
        <w:t>de 202</w:t>
      </w:r>
      <w:r w:rsidR="001C2E56" w:rsidRPr="00FE1289">
        <w:rPr>
          <w:rFonts w:ascii="Century Gothic" w:hAnsi="Century Gothic" w:cs="Tahoma"/>
          <w:sz w:val="24"/>
          <w:szCs w:val="24"/>
        </w:rPr>
        <w:t>2</w:t>
      </w:r>
      <w:r w:rsidRPr="00FE1289">
        <w:rPr>
          <w:rFonts w:ascii="Century Gothic" w:hAnsi="Century Gothic" w:cs="Tahoma"/>
          <w:sz w:val="24"/>
          <w:szCs w:val="24"/>
        </w:rPr>
        <w:t>.</w:t>
      </w:r>
      <w:r w:rsidRPr="00FE1289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EB5FAED" w14:textId="77777777" w:rsidR="00063910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A4DC963" w14:textId="77777777" w:rsidR="00AB3ED8" w:rsidRPr="00FE1289" w:rsidRDefault="00AB3ED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6684CDC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FE1289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/>
          <w:sz w:val="24"/>
          <w:szCs w:val="24"/>
        </w:rPr>
        <w:t>Presidente</w:t>
      </w:r>
    </w:p>
    <w:sectPr w:rsidR="009A6FFE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261BD" w14:textId="77777777" w:rsidR="003E4D8F" w:rsidRDefault="003E4D8F" w:rsidP="003C0F2A">
      <w:pPr>
        <w:spacing w:after="0" w:line="240" w:lineRule="auto"/>
      </w:pPr>
      <w:r>
        <w:separator/>
      </w:r>
    </w:p>
  </w:endnote>
  <w:endnote w:type="continuationSeparator" w:id="0">
    <w:p w14:paraId="506585B1" w14:textId="77777777" w:rsidR="003E4D8F" w:rsidRDefault="003E4D8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F1672" w14:textId="77777777" w:rsidR="003E4D8F" w:rsidRDefault="003E4D8F" w:rsidP="003C0F2A">
      <w:pPr>
        <w:spacing w:after="0" w:line="240" w:lineRule="auto"/>
      </w:pPr>
      <w:r>
        <w:separator/>
      </w:r>
    </w:p>
  </w:footnote>
  <w:footnote w:type="continuationSeparator" w:id="0">
    <w:p w14:paraId="4D10D3BD" w14:textId="77777777" w:rsidR="003E4D8F" w:rsidRDefault="003E4D8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B65"/>
    <w:rsid w:val="00052C7C"/>
    <w:rsid w:val="000547DE"/>
    <w:rsid w:val="00063330"/>
    <w:rsid w:val="00063910"/>
    <w:rsid w:val="000653AC"/>
    <w:rsid w:val="0006729E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4319"/>
    <w:rsid w:val="000D5C6F"/>
    <w:rsid w:val="000E49E8"/>
    <w:rsid w:val="000F1C79"/>
    <w:rsid w:val="000F2D01"/>
    <w:rsid w:val="000F466F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6066E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61D73"/>
    <w:rsid w:val="00262B36"/>
    <w:rsid w:val="00263246"/>
    <w:rsid w:val="00263EFF"/>
    <w:rsid w:val="00267665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40B04"/>
    <w:rsid w:val="00351502"/>
    <w:rsid w:val="003517F6"/>
    <w:rsid w:val="003526F9"/>
    <w:rsid w:val="0036564A"/>
    <w:rsid w:val="003665A6"/>
    <w:rsid w:val="00366DFE"/>
    <w:rsid w:val="00372B15"/>
    <w:rsid w:val="00373F7D"/>
    <w:rsid w:val="00377E05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793A"/>
    <w:rsid w:val="00420920"/>
    <w:rsid w:val="004221A8"/>
    <w:rsid w:val="00423AEA"/>
    <w:rsid w:val="00423E8E"/>
    <w:rsid w:val="0042555A"/>
    <w:rsid w:val="0043294F"/>
    <w:rsid w:val="00437D64"/>
    <w:rsid w:val="004420F3"/>
    <w:rsid w:val="0044333F"/>
    <w:rsid w:val="004434BF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D2ABB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33C6"/>
    <w:rsid w:val="0053401D"/>
    <w:rsid w:val="00541EE2"/>
    <w:rsid w:val="00544A84"/>
    <w:rsid w:val="00547475"/>
    <w:rsid w:val="00557482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3C07"/>
    <w:rsid w:val="005B4420"/>
    <w:rsid w:val="005C182F"/>
    <w:rsid w:val="005C77B8"/>
    <w:rsid w:val="005C7F84"/>
    <w:rsid w:val="005D0CC5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24C6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0BAD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51E66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50A4"/>
    <w:rsid w:val="00AE6B1A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73C1B"/>
    <w:rsid w:val="00C764EF"/>
    <w:rsid w:val="00C8032D"/>
    <w:rsid w:val="00C85F80"/>
    <w:rsid w:val="00C8733E"/>
    <w:rsid w:val="00C90855"/>
    <w:rsid w:val="00C926C8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6B0"/>
    <w:rsid w:val="00DA3DE6"/>
    <w:rsid w:val="00DA63E7"/>
    <w:rsid w:val="00DB0348"/>
    <w:rsid w:val="00DB0969"/>
    <w:rsid w:val="00DB283F"/>
    <w:rsid w:val="00DB3700"/>
    <w:rsid w:val="00DB46B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2FD"/>
    <w:rsid w:val="00E10FD4"/>
    <w:rsid w:val="00E12EA7"/>
    <w:rsid w:val="00E13328"/>
    <w:rsid w:val="00E159E0"/>
    <w:rsid w:val="00E16D22"/>
    <w:rsid w:val="00E23BE9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0AC0"/>
    <w:rsid w:val="00F21990"/>
    <w:rsid w:val="00F22075"/>
    <w:rsid w:val="00F24935"/>
    <w:rsid w:val="00F27ECF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6CC8"/>
    <w:rsid w:val="00FD17E5"/>
    <w:rsid w:val="00FD23CB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15BA-7945-46F2-88FB-2415B2B2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2022-07-11T17:56:00Z</cp:lastPrinted>
  <dcterms:created xsi:type="dcterms:W3CDTF">2022-08-31T11:27:00Z</dcterms:created>
  <dcterms:modified xsi:type="dcterms:W3CDTF">2022-08-31T11:35:00Z</dcterms:modified>
</cp:coreProperties>
</file>