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B8EF077" w:rsidR="009B1089" w:rsidRPr="009D60C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9D60C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9D60C1">
        <w:rPr>
          <w:rFonts w:ascii="Century Gothic" w:hAnsi="Century Gothic" w:cs="Arial"/>
          <w:b/>
          <w:sz w:val="21"/>
          <w:szCs w:val="21"/>
        </w:rPr>
        <w:t>n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9D60C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7F0FE3" w:rsidRPr="009D60C1">
        <w:rPr>
          <w:rFonts w:ascii="Century Gothic" w:hAnsi="Century Gothic" w:cs="Arial"/>
          <w:b/>
          <w:caps/>
          <w:sz w:val="21"/>
          <w:szCs w:val="21"/>
        </w:rPr>
        <w:t>2</w:t>
      </w:r>
      <w:r w:rsidR="001A24E7">
        <w:rPr>
          <w:rFonts w:ascii="Century Gothic" w:hAnsi="Century Gothic" w:cs="Arial"/>
          <w:b/>
          <w:caps/>
          <w:sz w:val="21"/>
          <w:szCs w:val="21"/>
        </w:rPr>
        <w:t>3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/202</w:t>
      </w:r>
      <w:r w:rsidR="001C2E56" w:rsidRPr="009D60C1">
        <w:rPr>
          <w:rFonts w:ascii="Century Gothic" w:hAnsi="Century Gothic" w:cs="Arial"/>
          <w:b/>
          <w:caps/>
          <w:sz w:val="21"/>
          <w:szCs w:val="21"/>
        </w:rPr>
        <w:t>2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-</w:t>
      </w:r>
      <w:r w:rsidR="003E4319" w:rsidRPr="009D60C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605BA5BE" w14:textId="28AE7FDB" w:rsidR="00351502" w:rsidRPr="009D60C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9D60C1">
        <w:rPr>
          <w:rFonts w:ascii="Century Gothic" w:hAnsi="Century Gothic" w:cs="Arial"/>
          <w:sz w:val="21"/>
          <w:szCs w:val="21"/>
        </w:rPr>
        <w:t xml:space="preserve">Data: </w:t>
      </w:r>
      <w:r w:rsidR="001A24E7">
        <w:rPr>
          <w:rFonts w:ascii="Century Gothic" w:hAnsi="Century Gothic" w:cs="Arial"/>
          <w:sz w:val="21"/>
          <w:szCs w:val="21"/>
        </w:rPr>
        <w:t>2</w:t>
      </w:r>
      <w:r w:rsidR="007F0FE3" w:rsidRPr="009D60C1">
        <w:rPr>
          <w:rFonts w:ascii="Century Gothic" w:hAnsi="Century Gothic" w:cs="Arial"/>
          <w:sz w:val="21"/>
          <w:szCs w:val="21"/>
        </w:rPr>
        <w:t>8</w:t>
      </w:r>
      <w:r w:rsidR="00EF0652" w:rsidRPr="009D60C1">
        <w:rPr>
          <w:rFonts w:ascii="Century Gothic" w:hAnsi="Century Gothic" w:cs="Arial"/>
          <w:sz w:val="21"/>
          <w:szCs w:val="21"/>
        </w:rPr>
        <w:t xml:space="preserve"> de abril </w:t>
      </w:r>
      <w:r w:rsidR="00C23797" w:rsidRPr="009D60C1">
        <w:rPr>
          <w:rFonts w:ascii="Century Gothic" w:hAnsi="Century Gothic" w:cs="Arial"/>
          <w:sz w:val="21"/>
          <w:szCs w:val="21"/>
        </w:rPr>
        <w:t>d</w:t>
      </w:r>
      <w:r w:rsidRPr="009D60C1">
        <w:rPr>
          <w:rFonts w:ascii="Century Gothic" w:hAnsi="Century Gothic" w:cs="Arial"/>
          <w:sz w:val="21"/>
          <w:szCs w:val="21"/>
        </w:rPr>
        <w:t>e 202</w:t>
      </w:r>
      <w:r w:rsidR="00580DB4" w:rsidRPr="009D60C1">
        <w:rPr>
          <w:rFonts w:ascii="Century Gothic" w:hAnsi="Century Gothic" w:cs="Arial"/>
          <w:sz w:val="21"/>
          <w:szCs w:val="21"/>
        </w:rPr>
        <w:t>2</w:t>
      </w:r>
    </w:p>
    <w:p w14:paraId="5432BB43" w14:textId="77777777" w:rsidR="003D220C" w:rsidRDefault="003D220C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</w:p>
    <w:p w14:paraId="0A8ACA9B" w14:textId="48136E24" w:rsidR="009B1089" w:rsidRPr="009D60C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1A24E7">
        <w:rPr>
          <w:rFonts w:ascii="Century Gothic" w:hAnsi="Century Gothic" w:cs="Arial"/>
          <w:b/>
          <w:sz w:val="21"/>
          <w:szCs w:val="21"/>
        </w:rPr>
        <w:t>38</w:t>
      </w:r>
      <w:r w:rsidR="001C2E56" w:rsidRPr="009D60C1">
        <w:rPr>
          <w:rFonts w:ascii="Century Gothic" w:hAnsi="Century Gothic" w:cs="Arial"/>
          <w:b/>
          <w:sz w:val="21"/>
          <w:szCs w:val="21"/>
        </w:rPr>
        <w:t>/2022</w:t>
      </w:r>
    </w:p>
    <w:p w14:paraId="4204B23C" w14:textId="77777777" w:rsidR="009B1089" w:rsidRPr="009D60C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05B3AD5B" w:rsidR="009B1089" w:rsidRPr="009D60C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9D60C1">
        <w:rPr>
          <w:rFonts w:ascii="Century Gothic" w:hAnsi="Century Gothic" w:cs="Arial"/>
          <w:sz w:val="21"/>
          <w:szCs w:val="21"/>
        </w:rPr>
        <w:t>, Estado do Paraná, em sessões</w:t>
      </w:r>
      <w:r w:rsidR="00BA105B" w:rsidRPr="009D60C1">
        <w:rPr>
          <w:rFonts w:ascii="Century Gothic" w:hAnsi="Century Gothic" w:cs="Arial"/>
          <w:sz w:val="21"/>
          <w:szCs w:val="21"/>
        </w:rPr>
        <w:t xml:space="preserve"> </w:t>
      </w:r>
      <w:r w:rsidR="001A24E7">
        <w:rPr>
          <w:rFonts w:ascii="Century Gothic" w:hAnsi="Century Gothic" w:cs="Arial"/>
          <w:sz w:val="21"/>
          <w:szCs w:val="21"/>
        </w:rPr>
        <w:t>ordinária e extraordinária</w:t>
      </w:r>
      <w:r w:rsidRPr="009D60C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9D60C1">
        <w:rPr>
          <w:rFonts w:ascii="Century Gothic" w:hAnsi="Century Gothic" w:cs="Arial"/>
          <w:sz w:val="21"/>
          <w:szCs w:val="21"/>
        </w:rPr>
        <w:t>unanimidade d</w:t>
      </w:r>
      <w:r w:rsidRPr="009D60C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9D60C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5E2A8AAD" w14:textId="17F38FA8" w:rsidR="0016342E" w:rsidRPr="009D60C1" w:rsidRDefault="007F0FE3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DISPÕE SOBRE AUTORIZAÇÃO PARA INTERFERÊNCIA FINANCEIRA, ABRE O CRÉDITO ADICIONAL SUPLEMENTAR</w:t>
      </w:r>
      <w:r w:rsidR="00BB0548" w:rsidRPr="009D60C1">
        <w:rPr>
          <w:rFonts w:ascii="Century Gothic" w:hAnsi="Century Gothic" w:cs="Arial"/>
          <w:b/>
          <w:sz w:val="21"/>
          <w:szCs w:val="21"/>
        </w:rPr>
        <w:t xml:space="preserve">, </w:t>
      </w:r>
      <w:r w:rsidR="004E0C05" w:rsidRPr="009D60C1">
        <w:rPr>
          <w:rFonts w:ascii="Century Gothic" w:hAnsi="Century Gothic" w:cs="Arial"/>
          <w:b/>
          <w:sz w:val="21"/>
          <w:szCs w:val="21"/>
        </w:rPr>
        <w:t>E DÁ OUTRAS PROVIDÊNCIAS</w:t>
      </w:r>
      <w:r w:rsidR="00890ABF" w:rsidRPr="009D60C1">
        <w:rPr>
          <w:rFonts w:ascii="Century Gothic" w:hAnsi="Century Gothic" w:cs="Arial"/>
          <w:b/>
          <w:sz w:val="21"/>
          <w:szCs w:val="21"/>
        </w:rPr>
        <w:t>.</w:t>
      </w:r>
    </w:p>
    <w:p w14:paraId="0D1690C9" w14:textId="77777777" w:rsidR="00006719" w:rsidRPr="009D60C1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3946D2A8" w14:textId="77777777" w:rsid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13FCF303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1º Fica o Chefe do Executivo Municipal autorizado a proceder transferência de recursos através de interferência financeira para o Poder Executivo alterando a programação constante dos Anexos I e II, do Plano Plurianual, o Anexo da Lei de Diretrizes Orçamentárias – LDO e o cronograma de desembolso, para o corrente exercício.</w:t>
      </w:r>
    </w:p>
    <w:p w14:paraId="6A037E0C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230788E6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31BA0AA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2º Fica igualmente o Chefe do Executivo Municipal autorizado a abrir, no corrente exercício, um Crédito Adicional Suplementar, no valor de até R$ 5.000.000,00 (cinco milhões de reais), destinado a suplementar a seguinte dotação:</w:t>
      </w:r>
    </w:p>
    <w:p w14:paraId="05EF940B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</w:t>
      </w:r>
    </w:p>
    <w:p w14:paraId="530F2E41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02.000 – PODER EXECUTIVO</w:t>
      </w:r>
    </w:p>
    <w:p w14:paraId="086E5FAA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02.014 – Secretaria Municipal de Infraestrutura</w:t>
      </w:r>
    </w:p>
    <w:p w14:paraId="0D58AD64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02.014.15.452.0055.1008 – Programa de pavimentação e revitalização de vias</w:t>
      </w:r>
    </w:p>
    <w:p w14:paraId="1E008463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4.0.00.00.0000 – DESPESAS DE CAPITAL</w:t>
      </w:r>
    </w:p>
    <w:p w14:paraId="14E38024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4.4.00.00.0000 – Investimentos</w:t>
      </w:r>
    </w:p>
    <w:p w14:paraId="76B7A510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4.4.90.00.0000 – Aplicações Diretas</w:t>
      </w:r>
    </w:p>
    <w:p w14:paraId="7E445BA8" w14:textId="1ABDC8DE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4.4.90.51.0000 – Obras e Instalações – Fonte 076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........................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5.000.000,00</w:t>
      </w:r>
    </w:p>
    <w:p w14:paraId="1F7D3E2F" w14:textId="7DCF9D59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S o m a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..................................................................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5.000.000,00</w:t>
      </w:r>
    </w:p>
    <w:p w14:paraId="22C7582F" w14:textId="20D46216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T O T A L </w:t>
      </w:r>
      <w:r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................................................................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>R$    5.000.000,00</w:t>
      </w:r>
    </w:p>
    <w:p w14:paraId="548EC503" w14:textId="0EC3981F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=============</w:t>
      </w:r>
    </w:p>
    <w:p w14:paraId="0428D7F0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2DF0CF7B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0A546B7E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3º Servirá de recurso para a cobertura do Crédito Adicional Suplementar de que trata o Artigo anterior, na forma do Artigo 43, § 1º, Incisos III, da Lei Federal nº 4.320, de 17 de março de 1964, a redução parcial da seguinte dotação:</w:t>
      </w:r>
    </w:p>
    <w:p w14:paraId="63AC7107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6978F27B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04.000 – FUNDO MUNICIPAL DE DESENVOLVIMENTO </w:t>
      </w:r>
    </w:p>
    <w:p w14:paraId="5FFB49D3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04.001 – Fundo Municipal de Desenvolvimento</w:t>
      </w:r>
    </w:p>
    <w:p w14:paraId="464C0822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04.001.28.846.0150.0150 – Operações de Financiamento</w:t>
      </w:r>
    </w:p>
    <w:p w14:paraId="6DE0CA14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3.0.00.00.0000 – DESPESAS CORRENTES</w:t>
      </w:r>
    </w:p>
    <w:p w14:paraId="63B55747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3.3.00.00.0000 – Outras Despesas Correntes </w:t>
      </w:r>
    </w:p>
    <w:p w14:paraId="3EE21BEE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3.3.90.00.0000 – Aplicações Diretas</w:t>
      </w:r>
    </w:p>
    <w:p w14:paraId="03564AD6" w14:textId="526F574B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3.3.90.39.0000 – Outros Serviços Terceiros – PJ – Fonte 076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 </w:t>
      </w:r>
      <w:bookmarkStart w:id="0" w:name="_GoBack"/>
      <w:bookmarkEnd w:id="0"/>
      <w:r w:rsidRPr="003D220C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5.000.000,00</w:t>
      </w:r>
    </w:p>
    <w:p w14:paraId="2081B143" w14:textId="695F1A3A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S o m a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...................................................................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5.000.000,00</w:t>
      </w:r>
    </w:p>
    <w:p w14:paraId="2A7A0FB0" w14:textId="5CBEB1F4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>T O T A L</w:t>
      </w:r>
      <w:r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................................................................. </w:t>
      </w:r>
      <w:r w:rsidRPr="003D220C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>R$    5.000.000,00</w:t>
      </w:r>
    </w:p>
    <w:p w14:paraId="27B89D31" w14:textId="00AFA499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</w:t>
      </w: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=============</w:t>
      </w:r>
    </w:p>
    <w:p w14:paraId="70733ADD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0FA616DE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1C7E962" w14:textId="77777777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65CC1A17" w14:textId="18E02845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2A28D2FF" w14:textId="0B7CF795" w:rsidR="003D220C" w:rsidRPr="003D220C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3D220C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4º Esta Lei entra em vigor na data da sua publicação.</w:t>
      </w:r>
    </w:p>
    <w:p w14:paraId="1E3F8E4C" w14:textId="77777777" w:rsidR="003D220C" w:rsidRDefault="003D220C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172E038" w14:textId="77777777" w:rsidR="0079722B" w:rsidRPr="009D60C1" w:rsidRDefault="0079722B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1"/>
          <w:szCs w:val="21"/>
        </w:rPr>
      </w:pPr>
    </w:p>
    <w:p w14:paraId="2FA2B08A" w14:textId="01CE3FE0" w:rsidR="00892D77" w:rsidRPr="009D60C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9D60C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EF0652" w:rsidRPr="009D60C1">
        <w:rPr>
          <w:rFonts w:ascii="Century Gothic" w:hAnsi="Century Gothic" w:cs="Tahoma"/>
          <w:sz w:val="21"/>
          <w:szCs w:val="21"/>
        </w:rPr>
        <w:t>1</w:t>
      </w:r>
      <w:r w:rsidR="001A24E7">
        <w:rPr>
          <w:rFonts w:ascii="Century Gothic" w:hAnsi="Century Gothic" w:cs="Tahoma"/>
          <w:sz w:val="21"/>
          <w:szCs w:val="21"/>
        </w:rPr>
        <w:t>8</w:t>
      </w:r>
      <w:r w:rsidR="00EF0652" w:rsidRPr="009D60C1">
        <w:rPr>
          <w:rFonts w:ascii="Century Gothic" w:hAnsi="Century Gothic" w:cs="Tahoma"/>
          <w:sz w:val="21"/>
          <w:szCs w:val="21"/>
        </w:rPr>
        <w:t xml:space="preserve"> de maio</w:t>
      </w:r>
      <w:r w:rsidR="00F70CCB" w:rsidRPr="009D60C1">
        <w:rPr>
          <w:rFonts w:ascii="Century Gothic" w:hAnsi="Century Gothic" w:cs="Tahoma"/>
          <w:sz w:val="21"/>
          <w:szCs w:val="21"/>
        </w:rPr>
        <w:t xml:space="preserve"> </w:t>
      </w:r>
      <w:r w:rsidRPr="009D60C1">
        <w:rPr>
          <w:rFonts w:ascii="Century Gothic" w:hAnsi="Century Gothic" w:cs="Tahoma"/>
          <w:sz w:val="21"/>
          <w:szCs w:val="21"/>
        </w:rPr>
        <w:t>de 202</w:t>
      </w:r>
      <w:r w:rsidR="001C2E56" w:rsidRPr="009D60C1">
        <w:rPr>
          <w:rFonts w:ascii="Century Gothic" w:hAnsi="Century Gothic" w:cs="Tahoma"/>
          <w:sz w:val="21"/>
          <w:szCs w:val="21"/>
        </w:rPr>
        <w:t>2</w:t>
      </w:r>
      <w:r w:rsidRPr="009D60C1">
        <w:rPr>
          <w:rFonts w:ascii="Century Gothic" w:hAnsi="Century Gothic" w:cs="Tahoma"/>
          <w:sz w:val="21"/>
          <w:szCs w:val="21"/>
        </w:rPr>
        <w:t>.</w:t>
      </w:r>
      <w:r w:rsidRPr="009D60C1">
        <w:rPr>
          <w:rFonts w:ascii="Century Gothic" w:hAnsi="Century Gothic"/>
          <w:sz w:val="21"/>
          <w:szCs w:val="21"/>
        </w:rPr>
        <w:t xml:space="preserve"> </w:t>
      </w:r>
    </w:p>
    <w:p w14:paraId="0F5B6FCF" w14:textId="2606E8D6" w:rsidR="00892D77" w:rsidRPr="009D60C1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9D60C1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9D60C1" w:rsidRDefault="003265A5" w:rsidP="000B2780">
      <w:pPr>
        <w:pStyle w:val="SemEspaamento"/>
        <w:jc w:val="both"/>
        <w:rPr>
          <w:rFonts w:ascii="Century Gothic" w:hAnsi="Century Gothic"/>
          <w:sz w:val="21"/>
          <w:szCs w:val="21"/>
        </w:rPr>
      </w:pPr>
    </w:p>
    <w:sectPr w:rsidR="003265A5" w:rsidRPr="009D60C1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3D5E7" w14:textId="77777777" w:rsidR="007C78F6" w:rsidRDefault="007C78F6" w:rsidP="003C0F2A">
      <w:pPr>
        <w:spacing w:after="0" w:line="240" w:lineRule="auto"/>
      </w:pPr>
      <w:r>
        <w:separator/>
      </w:r>
    </w:p>
  </w:endnote>
  <w:endnote w:type="continuationSeparator" w:id="0">
    <w:p w14:paraId="1A23EB57" w14:textId="77777777" w:rsidR="007C78F6" w:rsidRDefault="007C78F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97ABB" w14:textId="77777777" w:rsidR="007C78F6" w:rsidRDefault="007C78F6" w:rsidP="003C0F2A">
      <w:pPr>
        <w:spacing w:after="0" w:line="240" w:lineRule="auto"/>
      </w:pPr>
      <w:r>
        <w:separator/>
      </w:r>
    </w:p>
  </w:footnote>
  <w:footnote w:type="continuationSeparator" w:id="0">
    <w:p w14:paraId="62377F7A" w14:textId="77777777" w:rsidR="007C78F6" w:rsidRDefault="007C78F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3A4A-63EB-4402-BB84-41579949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2022-02-17T11:06:00Z</cp:lastPrinted>
  <dcterms:created xsi:type="dcterms:W3CDTF">2022-05-18T12:09:00Z</dcterms:created>
  <dcterms:modified xsi:type="dcterms:W3CDTF">2022-05-18T12:16:00Z</dcterms:modified>
</cp:coreProperties>
</file>