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42AAF3A" w:rsidR="009B1089" w:rsidRPr="009D60C1" w:rsidRDefault="009B1089" w:rsidP="00E771B1">
      <w:pPr>
        <w:pStyle w:val="SemEspaamento"/>
        <w:rPr>
          <w:rFonts w:ascii="Century Gothic" w:hAnsi="Century Gothic" w:cs="Arial"/>
          <w:b/>
          <w:caps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>Projeto de Lei</w:t>
      </w:r>
      <w:r w:rsidR="00E702B0" w:rsidRPr="009D60C1">
        <w:rPr>
          <w:rFonts w:ascii="Century Gothic" w:hAnsi="Century Gothic" w:cs="Arial"/>
          <w:b/>
          <w:sz w:val="21"/>
          <w:szCs w:val="21"/>
        </w:rPr>
        <w:t xml:space="preserve"> </w:t>
      </w:r>
      <w:r w:rsidR="00846625" w:rsidRPr="009D60C1">
        <w:rPr>
          <w:rFonts w:ascii="Century Gothic" w:hAnsi="Century Gothic" w:cs="Arial"/>
          <w:b/>
          <w:sz w:val="21"/>
          <w:szCs w:val="21"/>
        </w:rPr>
        <w:t>n</w:t>
      </w:r>
      <w:r w:rsidRPr="009D60C1">
        <w:rPr>
          <w:rFonts w:ascii="Century Gothic" w:hAnsi="Century Gothic" w:cs="Arial"/>
          <w:b/>
          <w:caps/>
          <w:sz w:val="21"/>
          <w:szCs w:val="21"/>
        </w:rPr>
        <w:t>º</w:t>
      </w:r>
      <w:r w:rsidR="00052147" w:rsidRPr="009D60C1">
        <w:rPr>
          <w:rFonts w:ascii="Century Gothic" w:hAnsi="Century Gothic" w:cs="Arial"/>
          <w:b/>
          <w:caps/>
          <w:sz w:val="21"/>
          <w:szCs w:val="21"/>
        </w:rPr>
        <w:t xml:space="preserve"> </w:t>
      </w:r>
      <w:r w:rsidR="007F0FE3" w:rsidRPr="009D60C1">
        <w:rPr>
          <w:rFonts w:ascii="Century Gothic" w:hAnsi="Century Gothic" w:cs="Arial"/>
          <w:b/>
          <w:caps/>
          <w:sz w:val="21"/>
          <w:szCs w:val="21"/>
        </w:rPr>
        <w:t>21</w:t>
      </w:r>
      <w:r w:rsidRPr="009D60C1">
        <w:rPr>
          <w:rFonts w:ascii="Century Gothic" w:hAnsi="Century Gothic" w:cs="Arial"/>
          <w:b/>
          <w:caps/>
          <w:sz w:val="21"/>
          <w:szCs w:val="21"/>
        </w:rPr>
        <w:t>/202</w:t>
      </w:r>
      <w:r w:rsidR="001C2E56" w:rsidRPr="009D60C1">
        <w:rPr>
          <w:rFonts w:ascii="Century Gothic" w:hAnsi="Century Gothic" w:cs="Arial"/>
          <w:b/>
          <w:caps/>
          <w:sz w:val="21"/>
          <w:szCs w:val="21"/>
        </w:rPr>
        <w:t>2</w:t>
      </w:r>
      <w:r w:rsidRPr="009D60C1">
        <w:rPr>
          <w:rFonts w:ascii="Century Gothic" w:hAnsi="Century Gothic" w:cs="Arial"/>
          <w:b/>
          <w:caps/>
          <w:sz w:val="21"/>
          <w:szCs w:val="21"/>
        </w:rPr>
        <w:t>-</w:t>
      </w:r>
      <w:r w:rsidR="003E4319" w:rsidRPr="009D60C1">
        <w:rPr>
          <w:rFonts w:ascii="Century Gothic" w:hAnsi="Century Gothic" w:cs="Arial"/>
          <w:b/>
          <w:caps/>
          <w:sz w:val="21"/>
          <w:szCs w:val="21"/>
        </w:rPr>
        <w:t>E</w:t>
      </w:r>
    </w:p>
    <w:p w14:paraId="605BA5BE" w14:textId="12D0A0E9" w:rsidR="00351502" w:rsidRPr="009D60C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  <w:r w:rsidRPr="009D60C1">
        <w:rPr>
          <w:rFonts w:ascii="Century Gothic" w:hAnsi="Century Gothic" w:cs="Arial"/>
          <w:sz w:val="21"/>
          <w:szCs w:val="21"/>
        </w:rPr>
        <w:t xml:space="preserve">Data: </w:t>
      </w:r>
      <w:r w:rsidR="00EF0652" w:rsidRPr="009D60C1">
        <w:rPr>
          <w:rFonts w:ascii="Century Gothic" w:hAnsi="Century Gothic" w:cs="Arial"/>
          <w:sz w:val="21"/>
          <w:szCs w:val="21"/>
        </w:rPr>
        <w:t>1</w:t>
      </w:r>
      <w:r w:rsidR="007F0FE3" w:rsidRPr="009D60C1">
        <w:rPr>
          <w:rFonts w:ascii="Century Gothic" w:hAnsi="Century Gothic" w:cs="Arial"/>
          <w:sz w:val="21"/>
          <w:szCs w:val="21"/>
        </w:rPr>
        <w:t>8</w:t>
      </w:r>
      <w:r w:rsidR="00EF0652" w:rsidRPr="009D60C1">
        <w:rPr>
          <w:rFonts w:ascii="Century Gothic" w:hAnsi="Century Gothic" w:cs="Arial"/>
          <w:sz w:val="21"/>
          <w:szCs w:val="21"/>
        </w:rPr>
        <w:t xml:space="preserve"> de abril </w:t>
      </w:r>
      <w:r w:rsidR="00C23797" w:rsidRPr="009D60C1">
        <w:rPr>
          <w:rFonts w:ascii="Century Gothic" w:hAnsi="Century Gothic" w:cs="Arial"/>
          <w:sz w:val="21"/>
          <w:szCs w:val="21"/>
        </w:rPr>
        <w:t>d</w:t>
      </w:r>
      <w:r w:rsidRPr="009D60C1">
        <w:rPr>
          <w:rFonts w:ascii="Century Gothic" w:hAnsi="Century Gothic" w:cs="Arial"/>
          <w:sz w:val="21"/>
          <w:szCs w:val="21"/>
        </w:rPr>
        <w:t>e 202</w:t>
      </w:r>
      <w:r w:rsidR="00580DB4" w:rsidRPr="009D60C1">
        <w:rPr>
          <w:rFonts w:ascii="Century Gothic" w:hAnsi="Century Gothic" w:cs="Arial"/>
          <w:sz w:val="21"/>
          <w:szCs w:val="21"/>
        </w:rPr>
        <w:t>2</w:t>
      </w:r>
    </w:p>
    <w:p w14:paraId="0A8ACA9B" w14:textId="337B0828" w:rsidR="009B1089" w:rsidRPr="009D60C1" w:rsidRDefault="009B1089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 xml:space="preserve">AUTÓGRAFO Nº </w:t>
      </w:r>
      <w:r w:rsidR="00EF0652" w:rsidRPr="009D60C1">
        <w:rPr>
          <w:rFonts w:ascii="Century Gothic" w:hAnsi="Century Gothic" w:cs="Arial"/>
          <w:b/>
          <w:sz w:val="21"/>
          <w:szCs w:val="21"/>
        </w:rPr>
        <w:t>3</w:t>
      </w:r>
      <w:r w:rsidR="007F0FE3" w:rsidRPr="009D60C1">
        <w:rPr>
          <w:rFonts w:ascii="Century Gothic" w:hAnsi="Century Gothic" w:cs="Arial"/>
          <w:b/>
          <w:sz w:val="21"/>
          <w:szCs w:val="21"/>
        </w:rPr>
        <w:t>1</w:t>
      </w:r>
      <w:r w:rsidR="001C2E56" w:rsidRPr="009D60C1">
        <w:rPr>
          <w:rFonts w:ascii="Century Gothic" w:hAnsi="Century Gothic" w:cs="Arial"/>
          <w:b/>
          <w:sz w:val="21"/>
          <w:szCs w:val="21"/>
        </w:rPr>
        <w:t>/2022</w:t>
      </w:r>
    </w:p>
    <w:p w14:paraId="4204B23C" w14:textId="77777777" w:rsidR="009B1089" w:rsidRPr="009D60C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49366DEE" w14:textId="5792533A" w:rsidR="009B1089" w:rsidRPr="009D60C1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>A CÂMARA MUNICIPAL DE MARECHAL CÂNDIDO RONDON</w:t>
      </w:r>
      <w:r w:rsidRPr="009D60C1">
        <w:rPr>
          <w:rFonts w:ascii="Century Gothic" w:hAnsi="Century Gothic" w:cs="Arial"/>
          <w:sz w:val="21"/>
          <w:szCs w:val="21"/>
        </w:rPr>
        <w:t>, Estado do Paraná, em sessões</w:t>
      </w:r>
      <w:r w:rsidR="00BA105B" w:rsidRPr="009D60C1">
        <w:rPr>
          <w:rFonts w:ascii="Century Gothic" w:hAnsi="Century Gothic" w:cs="Arial"/>
          <w:sz w:val="21"/>
          <w:szCs w:val="21"/>
        </w:rPr>
        <w:t xml:space="preserve"> </w:t>
      </w:r>
      <w:r w:rsidR="003E4319" w:rsidRPr="009D60C1">
        <w:rPr>
          <w:rFonts w:ascii="Century Gothic" w:hAnsi="Century Gothic" w:cs="Arial"/>
          <w:sz w:val="21"/>
          <w:szCs w:val="21"/>
        </w:rPr>
        <w:t>ordinárias</w:t>
      </w:r>
      <w:r w:rsidRPr="009D60C1">
        <w:rPr>
          <w:rFonts w:ascii="Century Gothic" w:hAnsi="Century Gothic" w:cs="Arial"/>
          <w:sz w:val="21"/>
          <w:szCs w:val="21"/>
        </w:rPr>
        <w:t xml:space="preserve">, por </w:t>
      </w:r>
      <w:r w:rsidR="001029BE" w:rsidRPr="009D60C1">
        <w:rPr>
          <w:rFonts w:ascii="Century Gothic" w:hAnsi="Century Gothic" w:cs="Arial"/>
          <w:sz w:val="21"/>
          <w:szCs w:val="21"/>
        </w:rPr>
        <w:t>unanimidade d</w:t>
      </w:r>
      <w:r w:rsidRPr="009D60C1">
        <w:rPr>
          <w:rFonts w:ascii="Century Gothic" w:hAnsi="Century Gothic" w:cs="Arial"/>
          <w:sz w:val="21"/>
          <w:szCs w:val="21"/>
        </w:rPr>
        <w:t>os presentes, aprovou</w:t>
      </w:r>
    </w:p>
    <w:p w14:paraId="2AA8A39C" w14:textId="77777777" w:rsidR="00E01B1F" w:rsidRPr="009D60C1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5E2A8AAD" w14:textId="17F38FA8" w:rsidR="0016342E" w:rsidRPr="009D60C1" w:rsidRDefault="007F0FE3" w:rsidP="0016342E">
      <w:pPr>
        <w:ind w:left="4536"/>
        <w:contextualSpacing/>
        <w:jc w:val="both"/>
        <w:rPr>
          <w:rFonts w:ascii="Century Gothic" w:hAnsi="Century Gothic" w:cs="Arial"/>
          <w:b/>
          <w:sz w:val="21"/>
          <w:szCs w:val="21"/>
        </w:rPr>
      </w:pPr>
      <w:r w:rsidRPr="009D60C1">
        <w:rPr>
          <w:rFonts w:ascii="Century Gothic" w:hAnsi="Century Gothic" w:cs="Arial"/>
          <w:b/>
          <w:sz w:val="21"/>
          <w:szCs w:val="21"/>
        </w:rPr>
        <w:t>DISPÕE SOBRE AUTORIZAÇÃO PARA INTERFERÊNCIA FINANCEIRA, ABRE O CRÉDITO ADICIONAL SUPLEMENTAR</w:t>
      </w:r>
      <w:r w:rsidR="00BB0548" w:rsidRPr="009D60C1">
        <w:rPr>
          <w:rFonts w:ascii="Century Gothic" w:hAnsi="Century Gothic" w:cs="Arial"/>
          <w:b/>
          <w:sz w:val="21"/>
          <w:szCs w:val="21"/>
        </w:rPr>
        <w:t xml:space="preserve">, </w:t>
      </w:r>
      <w:r w:rsidR="004E0C05" w:rsidRPr="009D60C1">
        <w:rPr>
          <w:rFonts w:ascii="Century Gothic" w:hAnsi="Century Gothic" w:cs="Arial"/>
          <w:b/>
          <w:sz w:val="21"/>
          <w:szCs w:val="21"/>
        </w:rPr>
        <w:t>E DÁ OUTRAS PROVIDÊNCIAS</w:t>
      </w:r>
      <w:r w:rsidR="00890ABF" w:rsidRPr="009D60C1">
        <w:rPr>
          <w:rFonts w:ascii="Century Gothic" w:hAnsi="Century Gothic" w:cs="Arial"/>
          <w:b/>
          <w:sz w:val="21"/>
          <w:szCs w:val="21"/>
        </w:rPr>
        <w:t>.</w:t>
      </w:r>
    </w:p>
    <w:p w14:paraId="0D1690C9" w14:textId="77777777" w:rsidR="00006719" w:rsidRPr="009D60C1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662FE236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1º Fica o Chefe do Executivo Municipal autorizado a proceder transferência de recursos através de interferência financeira para o Poder Executivo alterando a programação constante dos Anexos I e II, do Plano Plurianual, o Anexo da Lei de Diretrizes Orçamentárias – LDO e o cronograma de desembolso, para o corrente exercício.</w:t>
      </w:r>
    </w:p>
    <w:p w14:paraId="56063198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46A97759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6E547715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2º Fica igualmente o Chefe do Executivo Municipal autorizado a abrir, no corrente exercício, um Crédito Adicional Suplementar, no valor de até R$ 1.000.000,00 (um milhão de reais), destinado a suplementar a seguinte dotação:</w:t>
      </w:r>
    </w:p>
    <w:p w14:paraId="39695418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</w:t>
      </w:r>
    </w:p>
    <w:p w14:paraId="18CBF31D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</w:t>
      </w:r>
      <w:r w:rsidRPr="009D60C1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02.000 – PODER EXECUTIVO</w:t>
      </w:r>
    </w:p>
    <w:p w14:paraId="633A6391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02.004 – Secretaria Municipal de Administração</w:t>
      </w:r>
    </w:p>
    <w:p w14:paraId="520AAF2E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02.004.04.122.0005.2009 – Manutenção e Conservação dos Bens Móveis </w:t>
      </w:r>
    </w:p>
    <w:p w14:paraId="7EEF5B10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</w:t>
      </w:r>
      <w:proofErr w:type="gramStart"/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e</w:t>
      </w:r>
      <w:proofErr w:type="gramEnd"/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Imóveis</w:t>
      </w:r>
    </w:p>
    <w:p w14:paraId="3F856F78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3.0.00.00.0000 – DESPESAS CORRENTES</w:t>
      </w:r>
    </w:p>
    <w:p w14:paraId="7D1235C4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3.3.00.00.0000 – Outras Despesas Correntes</w:t>
      </w:r>
    </w:p>
    <w:p w14:paraId="3EA5A4FA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3.3.90.00.0000 – Aplicações Diretas</w:t>
      </w:r>
    </w:p>
    <w:p w14:paraId="73B6DF90" w14:textId="6CB2FC49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3.3.90.39.0000 – Outros Serv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iços Terceiros – PJ – Fonte 000 ........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1.000.000,00</w:t>
      </w:r>
    </w:p>
    <w:p w14:paraId="49AB81DC" w14:textId="7EE3BF23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S o m a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..................................................................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1.000.000,00</w:t>
      </w:r>
    </w:p>
    <w:p w14:paraId="53A1BA26" w14:textId="01174D93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</w:t>
      </w:r>
      <w:r w:rsidRPr="009D60C1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T O T A L </w:t>
      </w:r>
      <w:r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................................................................ </w:t>
      </w:r>
      <w:r w:rsidRPr="009D60C1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>R$    1.000.000,00</w:t>
      </w:r>
    </w:p>
    <w:p w14:paraId="7E6F2CDA" w14:textId="7607A4F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                                                                                                      </w:t>
      </w:r>
      <w:r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=============</w:t>
      </w:r>
    </w:p>
    <w:p w14:paraId="0A189A5D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660730DA" w14:textId="1E508A26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3º Servirá de recurso para a cobertura do Crédito Adicional Suplementar de que trata o Artigo anterior, na forma do Artigo 43, § 1º, Incisos III, da Lei Federal nº 4.320, de 17 de março de 1964, a redução parcial da seguinte dotação:</w:t>
      </w:r>
    </w:p>
    <w:p w14:paraId="3CEA1734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7B88F0F7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</w:t>
      </w:r>
      <w:r w:rsidRPr="009D60C1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 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01.000 – PODER LEGISLATIVO</w:t>
      </w:r>
    </w:p>
    <w:p w14:paraId="4F913415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01.001 – Câmara Municipal</w:t>
      </w:r>
    </w:p>
    <w:p w14:paraId="1087E951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01.001.01.031.0001.2000 – Manutenção da Câmara Municipal de Vereadores</w:t>
      </w:r>
    </w:p>
    <w:p w14:paraId="490E7A2E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3.0.00.00.0000 – DESPESAS CORRENTES</w:t>
      </w:r>
    </w:p>
    <w:p w14:paraId="4B720190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3.1.00.00.0000 – Pessoal e Encargos Sociais</w:t>
      </w:r>
    </w:p>
    <w:p w14:paraId="6FB2DCC2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3.1.90.00.0000 – Aplicações Diretas</w:t>
      </w:r>
    </w:p>
    <w:p w14:paraId="3BCBEA73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3.1.90.11.0000 – Venc. </w:t>
      </w:r>
      <w:proofErr w:type="gramStart"/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e</w:t>
      </w:r>
      <w:proofErr w:type="gramEnd"/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Vantagens Fixas – PC – Fonte 001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R$          600.000,00</w:t>
      </w:r>
    </w:p>
    <w:p w14:paraId="18EE0DE1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3.1.90.13.0000 – Obrigações Patronais – Fonte 001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R$        120.000,00</w:t>
      </w:r>
    </w:p>
    <w:p w14:paraId="7F972AE1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3.3.00.00.0000 – Outras Despesas Correntes</w:t>
      </w:r>
    </w:p>
    <w:p w14:paraId="6554F824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3.3.90.00.0000 – Aplicações Diretas</w:t>
      </w:r>
    </w:p>
    <w:p w14:paraId="07C06768" w14:textId="0F965ECD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>3.3.90.39.0000 – Outros Serviços Terceiros – PJ – Fonte 001</w:t>
      </w:r>
      <w:r w:rsidR="00665AA6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.........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    280.000,00</w:t>
      </w:r>
    </w:p>
    <w:p w14:paraId="7B4BAA97" w14:textId="0706C4A9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S o m a</w:t>
      </w:r>
      <w:r w:rsidR="00665AA6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...................................................................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u w:val="single"/>
          <w:lang w:eastAsia="ar-SA"/>
        </w:rPr>
        <w:t>R$    1.000.000,00</w:t>
      </w:r>
    </w:p>
    <w:p w14:paraId="20DC4A55" w14:textId="2997A0D6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ab/>
        <w:t xml:space="preserve">                            </w:t>
      </w:r>
      <w:r w:rsidRPr="009D60C1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>T O T A L</w:t>
      </w:r>
      <w:r w:rsidR="00665AA6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 xml:space="preserve"> .................................................................</w:t>
      </w:r>
      <w:r w:rsidRPr="009D60C1">
        <w:rPr>
          <w:rFonts w:ascii="Century Gothic" w:eastAsia="Times New Roman" w:hAnsi="Century Gothic" w:cs="Century Gothic"/>
          <w:b/>
          <w:bCs/>
          <w:sz w:val="21"/>
          <w:szCs w:val="21"/>
          <w:lang w:eastAsia="ar-SA"/>
        </w:rPr>
        <w:tab/>
        <w:t>R$    1.000.000,00</w:t>
      </w:r>
    </w:p>
    <w:p w14:paraId="3E1C72E0" w14:textId="39020B5B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                                                                                                      </w:t>
      </w:r>
      <w:r w:rsidR="00665AA6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 xml:space="preserve">          </w:t>
      </w: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=============</w:t>
      </w:r>
    </w:p>
    <w:p w14:paraId="646FC69A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2F22E9DF" w14:textId="77777777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6972E760" w14:textId="081EE2F0" w:rsidR="009D60C1" w:rsidRPr="009D60C1" w:rsidRDefault="009D60C1" w:rsidP="009D60C1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  <w:r w:rsidRPr="009D60C1"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  <w:t>Art. 4º Esta Lei entra em vigor na data da sua publicação.</w:t>
      </w:r>
    </w:p>
    <w:p w14:paraId="79C98321" w14:textId="77777777" w:rsidR="00511E78" w:rsidRPr="009D60C1" w:rsidRDefault="00511E78" w:rsidP="00511E78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7172E038" w14:textId="77777777" w:rsidR="0079722B" w:rsidRPr="009D60C1" w:rsidRDefault="0079722B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1"/>
          <w:szCs w:val="21"/>
        </w:rPr>
      </w:pPr>
      <w:bookmarkStart w:id="0" w:name="_GoBack"/>
      <w:bookmarkEnd w:id="0"/>
    </w:p>
    <w:p w14:paraId="2FA2B08A" w14:textId="64B14382" w:rsidR="00892D77" w:rsidRPr="009D60C1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1"/>
          <w:szCs w:val="21"/>
        </w:rPr>
      </w:pPr>
      <w:r w:rsidRPr="009D60C1">
        <w:rPr>
          <w:rFonts w:ascii="Century Gothic" w:hAnsi="Century Gothic" w:cs="Tahoma"/>
          <w:sz w:val="21"/>
          <w:szCs w:val="21"/>
        </w:rPr>
        <w:t xml:space="preserve">GABINETE DO PRESIDENTE, em </w:t>
      </w:r>
      <w:r w:rsidR="00EF0652" w:rsidRPr="009D60C1">
        <w:rPr>
          <w:rFonts w:ascii="Century Gothic" w:hAnsi="Century Gothic" w:cs="Tahoma"/>
          <w:sz w:val="21"/>
          <w:szCs w:val="21"/>
        </w:rPr>
        <w:t>10 de maio</w:t>
      </w:r>
      <w:r w:rsidR="00F70CCB" w:rsidRPr="009D60C1">
        <w:rPr>
          <w:rFonts w:ascii="Century Gothic" w:hAnsi="Century Gothic" w:cs="Tahoma"/>
          <w:sz w:val="21"/>
          <w:szCs w:val="21"/>
        </w:rPr>
        <w:t xml:space="preserve"> </w:t>
      </w:r>
      <w:r w:rsidRPr="009D60C1">
        <w:rPr>
          <w:rFonts w:ascii="Century Gothic" w:hAnsi="Century Gothic" w:cs="Tahoma"/>
          <w:sz w:val="21"/>
          <w:szCs w:val="21"/>
        </w:rPr>
        <w:t>de 202</w:t>
      </w:r>
      <w:r w:rsidR="001C2E56" w:rsidRPr="009D60C1">
        <w:rPr>
          <w:rFonts w:ascii="Century Gothic" w:hAnsi="Century Gothic" w:cs="Tahoma"/>
          <w:sz w:val="21"/>
          <w:szCs w:val="21"/>
        </w:rPr>
        <w:t>2</w:t>
      </w:r>
      <w:r w:rsidRPr="009D60C1">
        <w:rPr>
          <w:rFonts w:ascii="Century Gothic" w:hAnsi="Century Gothic" w:cs="Tahoma"/>
          <w:sz w:val="21"/>
          <w:szCs w:val="21"/>
        </w:rPr>
        <w:t>.</w:t>
      </w:r>
      <w:r w:rsidRPr="009D60C1">
        <w:rPr>
          <w:rFonts w:ascii="Century Gothic" w:hAnsi="Century Gothic"/>
          <w:sz w:val="21"/>
          <w:szCs w:val="21"/>
        </w:rPr>
        <w:t xml:space="preserve"> </w:t>
      </w:r>
    </w:p>
    <w:p w14:paraId="0F5B6FCF" w14:textId="2606E8D6" w:rsidR="00892D77" w:rsidRPr="009D60C1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  <w:r w:rsidRPr="009D60C1">
        <w:rPr>
          <w:rFonts w:ascii="Century Gothic" w:hAnsi="Century Gothic"/>
          <w:noProof/>
          <w:sz w:val="21"/>
          <w:szCs w:val="21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9D60C1" w:rsidRDefault="003265A5" w:rsidP="000B2780">
      <w:pPr>
        <w:pStyle w:val="SemEspaamento"/>
        <w:jc w:val="both"/>
        <w:rPr>
          <w:rFonts w:ascii="Century Gothic" w:hAnsi="Century Gothic"/>
          <w:sz w:val="21"/>
          <w:szCs w:val="21"/>
        </w:rPr>
      </w:pPr>
    </w:p>
    <w:sectPr w:rsidR="003265A5" w:rsidRPr="009D60C1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915D6" w14:textId="77777777" w:rsidR="00DD0FE7" w:rsidRDefault="00DD0FE7" w:rsidP="003C0F2A">
      <w:pPr>
        <w:spacing w:after="0" w:line="240" w:lineRule="auto"/>
      </w:pPr>
      <w:r>
        <w:separator/>
      </w:r>
    </w:p>
  </w:endnote>
  <w:endnote w:type="continuationSeparator" w:id="0">
    <w:p w14:paraId="561FAFE5" w14:textId="77777777" w:rsidR="00DD0FE7" w:rsidRDefault="00DD0FE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BAEC0" w14:textId="77777777" w:rsidR="00DD0FE7" w:rsidRDefault="00DD0FE7" w:rsidP="003C0F2A">
      <w:pPr>
        <w:spacing w:after="0" w:line="240" w:lineRule="auto"/>
      </w:pPr>
      <w:r>
        <w:separator/>
      </w:r>
    </w:p>
  </w:footnote>
  <w:footnote w:type="continuationSeparator" w:id="0">
    <w:p w14:paraId="3356EF85" w14:textId="77777777" w:rsidR="00DD0FE7" w:rsidRDefault="00DD0FE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D60C1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4956-A5FB-4598-A582-D165D9D1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2022-02-17T11:06:00Z</cp:lastPrinted>
  <dcterms:created xsi:type="dcterms:W3CDTF">2022-05-10T13:28:00Z</dcterms:created>
  <dcterms:modified xsi:type="dcterms:W3CDTF">2022-05-10T13:32:00Z</dcterms:modified>
</cp:coreProperties>
</file>