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10F3544" w:rsidR="009B1089" w:rsidRPr="00E72991" w:rsidRDefault="009B1089" w:rsidP="00E771B1">
      <w:pPr>
        <w:pStyle w:val="SemEspaamento"/>
        <w:rPr>
          <w:rFonts w:ascii="Century Gothic" w:hAnsi="Century Gothic"/>
          <w:b/>
          <w:caps/>
          <w:sz w:val="21"/>
          <w:szCs w:val="21"/>
        </w:rPr>
      </w:pPr>
      <w:r w:rsidRPr="00E72991">
        <w:rPr>
          <w:rFonts w:ascii="Century Gothic" w:hAnsi="Century Gothic"/>
          <w:b/>
          <w:sz w:val="21"/>
          <w:szCs w:val="21"/>
        </w:rPr>
        <w:t xml:space="preserve">Projeto de Lei </w:t>
      </w:r>
      <w:r w:rsidR="00846625" w:rsidRPr="00E72991">
        <w:rPr>
          <w:rFonts w:ascii="Century Gothic" w:hAnsi="Century Gothic"/>
          <w:b/>
          <w:sz w:val="21"/>
          <w:szCs w:val="21"/>
        </w:rPr>
        <w:t>n</w:t>
      </w:r>
      <w:r w:rsidRPr="00E72991">
        <w:rPr>
          <w:rFonts w:ascii="Century Gothic" w:hAnsi="Century Gothic"/>
          <w:b/>
          <w:caps/>
          <w:sz w:val="21"/>
          <w:szCs w:val="21"/>
        </w:rPr>
        <w:t>º</w:t>
      </w:r>
      <w:r w:rsidR="00052147" w:rsidRPr="00E72991">
        <w:rPr>
          <w:rFonts w:ascii="Century Gothic" w:hAnsi="Century Gothic"/>
          <w:b/>
          <w:caps/>
          <w:sz w:val="21"/>
          <w:szCs w:val="21"/>
        </w:rPr>
        <w:t xml:space="preserve"> 3</w:t>
      </w:r>
      <w:r w:rsidR="00A42B5C" w:rsidRPr="00E72991">
        <w:rPr>
          <w:rFonts w:ascii="Century Gothic" w:hAnsi="Century Gothic"/>
          <w:b/>
          <w:caps/>
          <w:sz w:val="21"/>
          <w:szCs w:val="21"/>
        </w:rPr>
        <w:t>5</w:t>
      </w:r>
      <w:r w:rsidRPr="00E72991">
        <w:rPr>
          <w:rFonts w:ascii="Century Gothic" w:hAnsi="Century Gothic"/>
          <w:b/>
          <w:caps/>
          <w:sz w:val="21"/>
          <w:szCs w:val="21"/>
        </w:rPr>
        <w:t>/2021-</w:t>
      </w:r>
      <w:r w:rsidR="00A42B5C" w:rsidRPr="00E72991">
        <w:rPr>
          <w:rFonts w:ascii="Century Gothic" w:hAnsi="Century Gothic"/>
          <w:b/>
          <w:caps/>
          <w:sz w:val="21"/>
          <w:szCs w:val="21"/>
        </w:rPr>
        <w:t>E</w:t>
      </w:r>
    </w:p>
    <w:p w14:paraId="1F288929" w14:textId="1C86D5AD" w:rsidR="00A27B51" w:rsidRPr="00E72991" w:rsidRDefault="009B1089" w:rsidP="00E771B1">
      <w:pPr>
        <w:pStyle w:val="SemEspaamento"/>
        <w:rPr>
          <w:rFonts w:ascii="Century Gothic" w:hAnsi="Century Gothic"/>
          <w:sz w:val="21"/>
          <w:szCs w:val="21"/>
        </w:rPr>
      </w:pPr>
      <w:r w:rsidRPr="00E72991">
        <w:rPr>
          <w:rFonts w:ascii="Century Gothic" w:hAnsi="Century Gothic"/>
          <w:sz w:val="21"/>
          <w:szCs w:val="21"/>
        </w:rPr>
        <w:t xml:space="preserve">Data: </w:t>
      </w:r>
      <w:r w:rsidR="00A42B5C" w:rsidRPr="00E72991">
        <w:rPr>
          <w:rFonts w:ascii="Century Gothic" w:hAnsi="Century Gothic"/>
          <w:sz w:val="21"/>
          <w:szCs w:val="21"/>
        </w:rPr>
        <w:t>30</w:t>
      </w:r>
      <w:r w:rsidR="00052147" w:rsidRPr="00E72991">
        <w:rPr>
          <w:rFonts w:ascii="Century Gothic" w:hAnsi="Century Gothic"/>
          <w:sz w:val="21"/>
          <w:szCs w:val="21"/>
        </w:rPr>
        <w:t xml:space="preserve"> de setembro</w:t>
      </w:r>
      <w:r w:rsidR="00C23797" w:rsidRPr="00E72991">
        <w:rPr>
          <w:rFonts w:ascii="Century Gothic" w:hAnsi="Century Gothic"/>
          <w:sz w:val="21"/>
          <w:szCs w:val="21"/>
        </w:rPr>
        <w:t xml:space="preserve"> d</w:t>
      </w:r>
      <w:r w:rsidRPr="00E72991">
        <w:rPr>
          <w:rFonts w:ascii="Century Gothic" w:hAnsi="Century Gothic"/>
          <w:sz w:val="21"/>
          <w:szCs w:val="21"/>
        </w:rPr>
        <w:t>e 2021</w:t>
      </w:r>
    </w:p>
    <w:p w14:paraId="07DD50AF" w14:textId="77777777" w:rsidR="0083123E" w:rsidRPr="00E72991" w:rsidRDefault="0083123E" w:rsidP="00E771B1">
      <w:pPr>
        <w:pStyle w:val="SemEspaamento"/>
        <w:rPr>
          <w:rFonts w:ascii="Century Gothic" w:hAnsi="Century Gothic"/>
          <w:sz w:val="21"/>
          <w:szCs w:val="21"/>
        </w:rPr>
      </w:pPr>
    </w:p>
    <w:p w14:paraId="0A8ACA9B" w14:textId="5464D982" w:rsidR="009B1089" w:rsidRPr="00E72991" w:rsidRDefault="009B1089" w:rsidP="00E771B1">
      <w:pPr>
        <w:pStyle w:val="SemEspaamento"/>
        <w:jc w:val="center"/>
        <w:rPr>
          <w:rFonts w:ascii="Century Gothic" w:hAnsi="Century Gothic"/>
          <w:b/>
          <w:sz w:val="21"/>
          <w:szCs w:val="21"/>
        </w:rPr>
      </w:pPr>
      <w:r w:rsidRPr="00E72991">
        <w:rPr>
          <w:rFonts w:ascii="Century Gothic" w:hAnsi="Century Gothic"/>
          <w:b/>
          <w:sz w:val="21"/>
          <w:szCs w:val="21"/>
        </w:rPr>
        <w:t xml:space="preserve">AUTÓGRAFO Nº </w:t>
      </w:r>
      <w:r w:rsidR="00A42B5C" w:rsidRPr="00E72991">
        <w:rPr>
          <w:rFonts w:ascii="Century Gothic" w:hAnsi="Century Gothic"/>
          <w:b/>
          <w:sz w:val="21"/>
          <w:szCs w:val="21"/>
        </w:rPr>
        <w:t>59</w:t>
      </w:r>
      <w:r w:rsidRPr="00E72991">
        <w:rPr>
          <w:rFonts w:ascii="Century Gothic" w:hAnsi="Century Gothic"/>
          <w:b/>
          <w:sz w:val="21"/>
          <w:szCs w:val="21"/>
        </w:rPr>
        <w:t>/2021</w:t>
      </w:r>
    </w:p>
    <w:p w14:paraId="4204B23C" w14:textId="77777777" w:rsidR="009B1089" w:rsidRPr="00E72991" w:rsidRDefault="009B1089" w:rsidP="00E771B1">
      <w:pPr>
        <w:pStyle w:val="SemEspaamento"/>
        <w:rPr>
          <w:rFonts w:ascii="Century Gothic" w:hAnsi="Century Gothic"/>
          <w:sz w:val="21"/>
          <w:szCs w:val="21"/>
        </w:rPr>
      </w:pPr>
    </w:p>
    <w:p w14:paraId="49366DEE" w14:textId="5FE216DF" w:rsidR="009B1089" w:rsidRPr="00E72991" w:rsidRDefault="009B1089" w:rsidP="001A2265">
      <w:pPr>
        <w:pStyle w:val="SemEspaamento"/>
        <w:ind w:firstLine="1418"/>
        <w:jc w:val="both"/>
        <w:rPr>
          <w:rFonts w:ascii="Century Gothic" w:hAnsi="Century Gothic"/>
          <w:sz w:val="21"/>
          <w:szCs w:val="21"/>
        </w:rPr>
      </w:pPr>
      <w:r w:rsidRPr="00E72991">
        <w:rPr>
          <w:rFonts w:ascii="Century Gothic" w:hAnsi="Century Gothic"/>
          <w:b/>
          <w:sz w:val="21"/>
          <w:szCs w:val="21"/>
        </w:rPr>
        <w:t>A CÂMARA MUNICIPAL DE MARECHAL CÂNDIDO RONDON</w:t>
      </w:r>
      <w:r w:rsidRPr="00E72991">
        <w:rPr>
          <w:rFonts w:ascii="Century Gothic" w:hAnsi="Century Gothic"/>
          <w:sz w:val="21"/>
          <w:szCs w:val="21"/>
        </w:rPr>
        <w:t xml:space="preserve">, Estado do Paraná, em sessões </w:t>
      </w:r>
      <w:r w:rsidR="00846625" w:rsidRPr="00E72991">
        <w:rPr>
          <w:rFonts w:ascii="Century Gothic" w:hAnsi="Century Gothic"/>
          <w:sz w:val="21"/>
          <w:szCs w:val="21"/>
        </w:rPr>
        <w:t>o</w:t>
      </w:r>
      <w:r w:rsidRPr="00E72991">
        <w:rPr>
          <w:rFonts w:ascii="Century Gothic" w:hAnsi="Century Gothic"/>
          <w:sz w:val="21"/>
          <w:szCs w:val="21"/>
        </w:rPr>
        <w:t>rdinária</w:t>
      </w:r>
      <w:r w:rsidR="00EA6333" w:rsidRPr="00E72991">
        <w:rPr>
          <w:rFonts w:ascii="Century Gothic" w:hAnsi="Century Gothic"/>
          <w:sz w:val="21"/>
          <w:szCs w:val="21"/>
        </w:rPr>
        <w:t xml:space="preserve"> e extraordinária</w:t>
      </w:r>
      <w:r w:rsidRPr="00E72991">
        <w:rPr>
          <w:rFonts w:ascii="Century Gothic" w:hAnsi="Century Gothic"/>
          <w:sz w:val="21"/>
          <w:szCs w:val="21"/>
        </w:rPr>
        <w:t>, por unanimidade dos presentes, aprovou</w:t>
      </w:r>
    </w:p>
    <w:p w14:paraId="0DBC2A4F" w14:textId="77777777" w:rsidR="004A7BA7" w:rsidRPr="00E72991" w:rsidRDefault="004A7BA7" w:rsidP="00E771B1">
      <w:pPr>
        <w:pStyle w:val="SemEspaamento"/>
        <w:rPr>
          <w:rFonts w:ascii="Century Gothic" w:hAnsi="Century Gothic"/>
          <w:sz w:val="21"/>
          <w:szCs w:val="21"/>
        </w:rPr>
      </w:pPr>
    </w:p>
    <w:p w14:paraId="05417C39" w14:textId="71EBBF2F" w:rsidR="000771AC" w:rsidRPr="00E72991" w:rsidRDefault="00A42B5C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1"/>
          <w:szCs w:val="21"/>
        </w:rPr>
      </w:pPr>
      <w:r w:rsidRPr="00E72991">
        <w:rPr>
          <w:rFonts w:ascii="Century Gothic" w:eastAsia="Arial" w:hAnsi="Century Gothic" w:cs="Arial"/>
          <w:b/>
          <w:bCs/>
          <w:sz w:val="21"/>
          <w:szCs w:val="21"/>
        </w:rPr>
        <w:t>DISPÕE SOBRE AUTORIZA</w:t>
      </w:r>
      <w:bookmarkStart w:id="0" w:name="_GoBack"/>
      <w:r w:rsidRPr="00E72991">
        <w:rPr>
          <w:rFonts w:ascii="Century Gothic" w:eastAsia="Arial" w:hAnsi="Century Gothic" w:cs="Arial"/>
          <w:b/>
          <w:bCs/>
          <w:sz w:val="21"/>
          <w:szCs w:val="21"/>
        </w:rPr>
        <w:t>Ç</w:t>
      </w:r>
      <w:bookmarkEnd w:id="0"/>
      <w:r w:rsidRPr="00E72991">
        <w:rPr>
          <w:rFonts w:ascii="Century Gothic" w:eastAsia="Arial" w:hAnsi="Century Gothic" w:cs="Arial"/>
          <w:b/>
          <w:bCs/>
          <w:sz w:val="21"/>
          <w:szCs w:val="21"/>
        </w:rPr>
        <w:t>ÃO PARA INTERFERÊNCIA FINANCEIRA, ABRE O CRÉDITO ADICIONAL SUPLEMENTAR, E DÁ OUTRAS PROVIDÊNCIAS</w:t>
      </w:r>
      <w:r w:rsidR="00747817" w:rsidRPr="00E72991">
        <w:rPr>
          <w:rFonts w:ascii="Century Gothic" w:eastAsia="Arial" w:hAnsi="Century Gothic" w:cs="Arial"/>
          <w:b/>
          <w:bCs/>
          <w:sz w:val="21"/>
          <w:szCs w:val="21"/>
        </w:rPr>
        <w:t xml:space="preserve">. </w:t>
      </w:r>
    </w:p>
    <w:p w14:paraId="398FF64A" w14:textId="77777777" w:rsidR="000771AC" w:rsidRPr="001A2265" w:rsidRDefault="000771AC" w:rsidP="00ED4AFE">
      <w:pPr>
        <w:pStyle w:val="SemEspaamento"/>
      </w:pPr>
    </w:p>
    <w:p w14:paraId="65F189C2" w14:textId="77777777" w:rsidR="00ED4AFE" w:rsidRPr="00ED4AFE" w:rsidRDefault="00ED4AFE" w:rsidP="00ED4AFE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  <w:t>Art. 1º Fica o Chefe do Executivo Municipal autorizado a proceder transferência de recursos através de interferência financeira para o Poder Executivo alterando a programação constante dos Anexos I e II, do Plano Plurianual, o Anexo da Lei de Diretrizes Orçamentárias – LDO e o cronograma de desembolso, para o corrente exercício.</w:t>
      </w:r>
    </w:p>
    <w:p w14:paraId="7E3ED0EF" w14:textId="77777777" w:rsidR="00ED4AFE" w:rsidRPr="00ED4AFE" w:rsidRDefault="00ED4AFE" w:rsidP="00ED4AFE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</w:pPr>
    </w:p>
    <w:p w14:paraId="4AE24B86" w14:textId="77777777" w:rsidR="00ED4AFE" w:rsidRPr="00ED4AFE" w:rsidRDefault="00ED4AFE" w:rsidP="00ED4AFE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alibri"/>
          <w:kern w:val="1"/>
          <w:sz w:val="21"/>
          <w:szCs w:val="21"/>
          <w:lang w:eastAsia="ar-SA"/>
        </w:rPr>
      </w:pPr>
    </w:p>
    <w:p w14:paraId="66782054" w14:textId="77777777" w:rsidR="00ED4AFE" w:rsidRPr="00ED4AFE" w:rsidRDefault="00ED4AFE" w:rsidP="00ED4AFE">
      <w:pPr>
        <w:widowControl w:val="0"/>
        <w:suppressAutoHyphens/>
        <w:spacing w:after="0" w:line="240" w:lineRule="auto"/>
        <w:ind w:right="-80" w:firstLine="1418"/>
        <w:jc w:val="both"/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</w:pPr>
      <w:r w:rsidRPr="00ED4AFE">
        <w:rPr>
          <w:rFonts w:ascii="Century Gothic" w:eastAsia="Lucida Sans Unicode" w:hAnsi="Century Gothic" w:cs="Tahoma"/>
          <w:kern w:val="1"/>
          <w:sz w:val="21"/>
          <w:szCs w:val="21"/>
          <w:lang w:eastAsia="pt-BR"/>
        </w:rPr>
        <w:t xml:space="preserve">Art. 2º Fica igualmente o Chefe do Executivo Municipal autorizado a abrir, no corrente exercício, um Crédito Adicional Suplementar, no valor de até </w:t>
      </w: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>R$ 1.500.000,00 (um milhão e quinhentos mil reais),</w:t>
      </w:r>
      <w:r w:rsidRPr="00ED4AFE">
        <w:rPr>
          <w:rFonts w:ascii="Century Gothic" w:eastAsia="Lucida Sans Unicode" w:hAnsi="Century Gothic" w:cs="Tahoma"/>
          <w:kern w:val="1"/>
          <w:sz w:val="21"/>
          <w:szCs w:val="21"/>
          <w:lang w:eastAsia="pt-BR"/>
        </w:rPr>
        <w:t xml:space="preserve"> </w:t>
      </w:r>
      <w:r w:rsidRPr="00ED4AFE"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  <w:t>destinado a suplementar as seguintes dotações:</w:t>
      </w:r>
    </w:p>
    <w:p w14:paraId="297D2FC0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jc w:val="both"/>
        <w:rPr>
          <w:rFonts w:ascii="Century Gothic" w:eastAsia="Times New Roman" w:hAnsi="Century Gothic" w:cs="Tahoma"/>
          <w:kern w:val="1"/>
          <w:sz w:val="8"/>
          <w:szCs w:val="8"/>
          <w:lang w:eastAsia="pt-BR"/>
        </w:rPr>
      </w:pP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 xml:space="preserve"> </w:t>
      </w:r>
    </w:p>
    <w:p w14:paraId="429DAE8B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rPr>
          <w:rFonts w:ascii="Century Gothic" w:eastAsia="Times New Roman" w:hAnsi="Century Gothic" w:cs="Century Gothic"/>
          <w:kern w:val="2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ab/>
        <w:t xml:space="preserve">          </w:t>
      </w:r>
      <w:r w:rsidRPr="00ED4AFE">
        <w:rPr>
          <w:rFonts w:ascii="Century Gothic" w:eastAsia="Times New Roman" w:hAnsi="Century Gothic" w:cs="Tahoma"/>
          <w:b/>
          <w:bCs/>
          <w:kern w:val="1"/>
          <w:sz w:val="21"/>
          <w:szCs w:val="21"/>
          <w:lang w:eastAsia="pt-BR"/>
        </w:rPr>
        <w:t xml:space="preserve"> </w:t>
      </w: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 xml:space="preserve">  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02.000 – PODER EXECUTIVO</w:t>
      </w:r>
    </w:p>
    <w:p w14:paraId="363DE383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02.014 – Fundo Municipal de Saúde</w:t>
      </w:r>
    </w:p>
    <w:p w14:paraId="7F4DEA55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02.014.10.302.0050.2064 – Manutenção da UPA – Unidade de Pronto </w:t>
      </w:r>
    </w:p>
    <w:p w14:paraId="6B23C599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Atendimento</w:t>
      </w:r>
    </w:p>
    <w:p w14:paraId="56606F33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4C96D1AA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50F6544D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150CFD3E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3.1.90.11.0000 – Venc. </w:t>
      </w:r>
      <w:proofErr w:type="gram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Vantagens Fixas – PC – Fonte 000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240.000,00</w:t>
      </w:r>
    </w:p>
    <w:p w14:paraId="2E5C0340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000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60.000,00</w:t>
      </w:r>
    </w:p>
    <w:p w14:paraId="1AF56BEB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02.014.10.302.0050.2072 – Manutenção e Ampliação do CISCOPAR</w:t>
      </w:r>
    </w:p>
    <w:p w14:paraId="5439DCA7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4AD2DB0B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162A0FD0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3.1.71.00.0000 –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Transf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</w:t>
      </w:r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 xml:space="preserve"> a Cons. </w:t>
      </w:r>
      <w:proofErr w:type="spellStart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. Med. Contr. Rateio</w:t>
      </w:r>
    </w:p>
    <w:p w14:paraId="66AD57BB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3.1.71.70.0000 – Rateio p/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Particip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. </w:t>
      </w:r>
      <w:proofErr w:type="gram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em</w:t>
      </w:r>
      <w:proofErr w:type="gram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Cons.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– Fonte 000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400.000,00</w:t>
      </w:r>
    </w:p>
    <w:p w14:paraId="230B917A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3.3.00.00.0000 – Outras Despesas Correntes</w:t>
      </w:r>
    </w:p>
    <w:p w14:paraId="0DD8C86B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3.3.71.00.0000 –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Transf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</w:t>
      </w:r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 xml:space="preserve"> a Cons. </w:t>
      </w:r>
      <w:proofErr w:type="spellStart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. Med. Contr. Rateio</w:t>
      </w:r>
    </w:p>
    <w:p w14:paraId="508D7534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3.3.71.70.0000 – Rateio p/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Particip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. </w:t>
      </w:r>
      <w:proofErr w:type="gram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em</w:t>
      </w:r>
      <w:proofErr w:type="gram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Cons.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– Fonte 000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770.000,00</w:t>
      </w:r>
    </w:p>
    <w:p w14:paraId="5DD63EE7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4.0.00.00.0000 – DESPESAS DE CAPITAL</w:t>
      </w:r>
    </w:p>
    <w:p w14:paraId="7F381D26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4.4.00.00.0000 – Investimentos </w:t>
      </w:r>
    </w:p>
    <w:p w14:paraId="26C336F6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4.4.71.00.0000 –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Transf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</w:t>
      </w:r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 xml:space="preserve"> a Cons. </w:t>
      </w:r>
      <w:proofErr w:type="spellStart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ArialMT"/>
          <w:sz w:val="21"/>
          <w:szCs w:val="21"/>
          <w:lang w:eastAsia="pt-BR"/>
        </w:rPr>
        <w:t>. Med. Contr. Rateio</w:t>
      </w:r>
    </w:p>
    <w:p w14:paraId="2A205475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4.4.71.70.0000 – Rateio p/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Particip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. </w:t>
      </w:r>
      <w:proofErr w:type="gram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em</w:t>
      </w:r>
      <w:proofErr w:type="gram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Cons. </w:t>
      </w:r>
      <w:proofErr w:type="spellStart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Publ</w:t>
      </w:r>
      <w:proofErr w:type="spellEnd"/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– Fonte 000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ab/>
        <w:t>R$         30.000,00</w:t>
      </w:r>
    </w:p>
    <w:p w14:paraId="3554E538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ED4AFE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1.500.000,00</w:t>
      </w:r>
    </w:p>
    <w:p w14:paraId="14EA7195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Arial" w:eastAsia="Lucida Sans Unicode" w:hAnsi="Arial" w:cs="Arial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                      </w:t>
      </w:r>
      <w:r w:rsidRPr="00ED4AFE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 xml:space="preserve">T O T A L </w:t>
      </w:r>
      <w:r w:rsidRPr="00ED4AFE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ab/>
        <w:t>R$    1.500.000</w:t>
      </w:r>
      <w:r w:rsidRPr="00ED4AFE">
        <w:rPr>
          <w:rFonts w:ascii="Century Gothic" w:eastAsia="Lucida Sans Unicode" w:hAnsi="Century Gothic" w:cs="Arial"/>
          <w:b/>
          <w:bCs/>
          <w:kern w:val="1"/>
          <w:sz w:val="21"/>
          <w:szCs w:val="21"/>
          <w:lang w:eastAsia="pt-BR"/>
        </w:rPr>
        <w:t>,00</w:t>
      </w:r>
    </w:p>
    <w:p w14:paraId="01142B9D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ED4AFE">
        <w:rPr>
          <w:rFonts w:ascii="Arial" w:eastAsia="Lucida Sans Unicode" w:hAnsi="Arial" w:cs="Arial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7DD9C846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jc w:val="both"/>
        <w:rPr>
          <w:rFonts w:ascii="Century Gothic" w:eastAsia="Lucida Sans Unicode" w:hAnsi="Century Gothic" w:cs="Times New Roman"/>
          <w:kern w:val="1"/>
          <w:sz w:val="21"/>
          <w:szCs w:val="21"/>
          <w:lang w:eastAsia="pt-BR"/>
        </w:rPr>
      </w:pPr>
    </w:p>
    <w:p w14:paraId="26E52602" w14:textId="77777777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jc w:val="both"/>
        <w:rPr>
          <w:rFonts w:ascii="Century Gothic" w:eastAsia="Lucida Sans Unicode" w:hAnsi="Century Gothic" w:cs="Times New Roman"/>
          <w:kern w:val="1"/>
          <w:sz w:val="21"/>
          <w:szCs w:val="21"/>
          <w:lang w:eastAsia="pt-BR"/>
        </w:rPr>
      </w:pPr>
    </w:p>
    <w:p w14:paraId="3FEFF46B" w14:textId="5A5DE81E" w:rsidR="00ED4AFE" w:rsidRPr="00ED4AFE" w:rsidRDefault="00ED4AFE" w:rsidP="00ED4AF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firstLine="1400"/>
        <w:jc w:val="both"/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</w:pPr>
      <w:r w:rsidRPr="00ED4AFE">
        <w:rPr>
          <w:rFonts w:ascii="Century Gothic" w:eastAsia="Times New Roman" w:hAnsi="Century Gothic" w:cs="Calibri"/>
          <w:kern w:val="1"/>
          <w:sz w:val="21"/>
          <w:szCs w:val="21"/>
          <w:lang w:eastAsia="pt-BR"/>
        </w:rPr>
        <w:t xml:space="preserve">Art. 3º </w:t>
      </w: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>Servirá de recurso para a cobertura do Crédito Adicional Suplementar de que trata o Artigo anterior, na forma do Artigo 43, § 1º, Incisos III</w:t>
      </w:r>
      <w:r w:rsidRPr="00ED4AFE">
        <w:rPr>
          <w:rFonts w:ascii="Century Gothic" w:eastAsia="Arial Unicode MS" w:hAnsi="Century Gothic" w:cs="Tahoma"/>
          <w:kern w:val="1"/>
          <w:sz w:val="21"/>
          <w:szCs w:val="21"/>
          <w:lang w:eastAsia="pt-BR"/>
        </w:rPr>
        <w:t xml:space="preserve">, da Lei Federal nº 4.320, de 17 de março de 1964, </w:t>
      </w:r>
      <w:r w:rsidRPr="00ED4AF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>a redução parcial da seguinte dotação:</w:t>
      </w:r>
    </w:p>
    <w:p w14:paraId="71ACE8F0" w14:textId="77777777" w:rsidR="00ED4AFE" w:rsidRPr="0052765A" w:rsidRDefault="00ED4AFE" w:rsidP="00ED4AFE">
      <w:pPr>
        <w:pStyle w:val="SemEspaamento"/>
        <w:rPr>
          <w:sz w:val="21"/>
          <w:szCs w:val="21"/>
        </w:rPr>
      </w:pPr>
    </w:p>
    <w:p w14:paraId="1CE809A7" w14:textId="77777777" w:rsidR="00ED4AFE" w:rsidRDefault="00ED4AFE" w:rsidP="00ED4AFE">
      <w:pPr>
        <w:pStyle w:val="SemEspaamento"/>
        <w:rPr>
          <w:bCs/>
        </w:rPr>
      </w:pPr>
    </w:p>
    <w:p w14:paraId="24BDEDFD" w14:textId="34FF2B2E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2"/>
          <w:sz w:val="21"/>
          <w:szCs w:val="21"/>
          <w:lang w:eastAsia="pt-BR"/>
        </w:rPr>
      </w:pPr>
      <w:r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lastRenderedPageBreak/>
        <w:t xml:space="preserve">                              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01.000 – PODER LEGISLATIVO</w:t>
      </w:r>
    </w:p>
    <w:p w14:paraId="255FB9FC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01.001 – Câmara Municipal</w:t>
      </w:r>
    </w:p>
    <w:p w14:paraId="646EBF6D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01.001.01.031.0001.2000 – Manutenção da Câmara Municipal de Vereadores</w:t>
      </w:r>
    </w:p>
    <w:p w14:paraId="07B2B25C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3.0.00.00.0000 – DESPESAS CORRENTES</w:t>
      </w:r>
    </w:p>
    <w:p w14:paraId="6D712D44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3.1.00.00.0000 – Pessoal e Encargos Sociais</w:t>
      </w:r>
    </w:p>
    <w:p w14:paraId="29E26C3C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3.1.90.00.0000 – Aplicações Diretas</w:t>
      </w:r>
    </w:p>
    <w:p w14:paraId="6E5F0E3D" w14:textId="45FB1163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3.1.90.11.0000 – Venc. e Vantagens Fixas – PC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355.000,00</w:t>
      </w:r>
    </w:p>
    <w:p w14:paraId="4FB22F33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3.1.90.13.0000 – Obrigações Patronais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100.000,00</w:t>
      </w:r>
    </w:p>
    <w:p w14:paraId="01C986E1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3.3.00.00.0000 – Outras Despesas Correntes</w:t>
      </w:r>
    </w:p>
    <w:p w14:paraId="2B4826ED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3.3.90.00.0000 – Aplicações Diretas</w:t>
      </w:r>
    </w:p>
    <w:p w14:paraId="0A0A2CFE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3.3.90.14.0000 – Diárias – Civil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100.000,00</w:t>
      </w:r>
    </w:p>
    <w:p w14:paraId="436CBD0D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3.3.90.30.0000 – Material de Consumo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150.000,00</w:t>
      </w:r>
    </w:p>
    <w:p w14:paraId="3D9D7F14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3.3.90.31.0000 – Prem. Cult. Art. Cient. Desp. </w:t>
      </w:r>
      <w:proofErr w:type="gram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Out.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50.000,00</w:t>
      </w:r>
    </w:p>
    <w:p w14:paraId="5E20F68F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3.3.90.33.0000 – </w:t>
      </w:r>
      <w:proofErr w:type="spell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Passag</w:t>
      </w:r>
      <w:proofErr w:type="spell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. </w:t>
      </w:r>
      <w:proofErr w:type="gram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e</w:t>
      </w:r>
      <w:proofErr w:type="gram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Despesas de </w:t>
      </w:r>
      <w:proofErr w:type="spell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Locom</w:t>
      </w:r>
      <w:proofErr w:type="spell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60.000,00</w:t>
      </w:r>
    </w:p>
    <w:p w14:paraId="319FB30D" w14:textId="40F2FAD9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3.3.90.34.0000 – </w:t>
      </w:r>
      <w:proofErr w:type="gram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Out.</w:t>
      </w:r>
      <w:proofErr w:type="gram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Desp. Pess. Dec. Contr. </w:t>
      </w:r>
      <w:proofErr w:type="spell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Terc</w:t>
      </w:r>
      <w:proofErr w:type="spell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120.000,00</w:t>
      </w:r>
    </w:p>
    <w:p w14:paraId="56A4D12A" w14:textId="448E2CED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3.3.90.36.0000 – Outros Serviços Terceiros – PF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R$         </w:t>
      </w:r>
      <w:r w:rsidR="00E13328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 xml:space="preserve"> 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45.000,00</w:t>
      </w:r>
    </w:p>
    <w:p w14:paraId="0BF91120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3.3.90.39.0000 – Outros Serviços Terceiros – PJ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200.000,00</w:t>
      </w:r>
    </w:p>
    <w:p w14:paraId="6D12BC6F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3.3.90.40.0000 – Serv. Tecnol. </w:t>
      </w:r>
      <w:proofErr w:type="spell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Infor</w:t>
      </w:r>
      <w:proofErr w:type="spell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 Comunic. – PJ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80.000,00</w:t>
      </w:r>
    </w:p>
    <w:p w14:paraId="02D3D6EE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3.3.90.46.0000 – Auxílio Alimentação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100.000,00</w:t>
      </w:r>
    </w:p>
    <w:p w14:paraId="13E90B75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3.3.90.47.0000 – </w:t>
      </w:r>
      <w:proofErr w:type="spellStart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Obrig</w:t>
      </w:r>
      <w:proofErr w:type="spellEnd"/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>. Tributárias e Contributivas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40.000,00</w:t>
      </w:r>
    </w:p>
    <w:p w14:paraId="6E693450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3.3.90.93.0000 – Indenizações e Restituições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R$          50.000,00</w:t>
      </w:r>
    </w:p>
    <w:p w14:paraId="5508C35E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4.0.00.00.0000 – DESPESAS DE CAPITAL</w:t>
      </w:r>
    </w:p>
    <w:p w14:paraId="4C3BD2FA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4.4.00.00.0000 – Investimentos </w:t>
      </w:r>
    </w:p>
    <w:p w14:paraId="2E1994E4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4.4.90.00.0000 – Aplicações Diretas</w:t>
      </w:r>
    </w:p>
    <w:p w14:paraId="2671C107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>4.4.90.51.0000 – Obras e Instalações – Fonte 001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     50.000,00</w:t>
      </w:r>
    </w:p>
    <w:p w14:paraId="7506E6FB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  <w:t xml:space="preserve">                            S o m a</w:t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  <w:tab/>
      </w:r>
      <w:r w:rsidRPr="0086793E">
        <w:rPr>
          <w:rFonts w:ascii="Century Gothic" w:eastAsia="Times New Roman" w:hAnsi="Century Gothic" w:cs="Century Gothic"/>
          <w:kern w:val="1"/>
          <w:sz w:val="21"/>
          <w:szCs w:val="21"/>
          <w:u w:val="single"/>
          <w:lang w:eastAsia="pt-BR"/>
        </w:rPr>
        <w:t>R$    1.500.000,00</w:t>
      </w:r>
    </w:p>
    <w:p w14:paraId="24D8294A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Arial" w:eastAsia="Lucida Sans Unicode" w:hAnsi="Arial" w:cs="Arial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  <w:tab/>
        <w:t xml:space="preserve">                            </w:t>
      </w:r>
      <w:r w:rsidRPr="0086793E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 xml:space="preserve">T O T A L </w:t>
      </w:r>
      <w:r w:rsidRPr="0086793E">
        <w:rPr>
          <w:rFonts w:ascii="Century Gothic" w:eastAsia="Times New Roman" w:hAnsi="Century Gothic" w:cs="Century Gothic"/>
          <w:b/>
          <w:bCs/>
          <w:kern w:val="1"/>
          <w:sz w:val="21"/>
          <w:szCs w:val="21"/>
          <w:lang w:eastAsia="ar-SA"/>
        </w:rPr>
        <w:tab/>
        <w:t>R$    1.500.000</w:t>
      </w:r>
      <w:r w:rsidRPr="0086793E">
        <w:rPr>
          <w:rFonts w:ascii="Century Gothic" w:eastAsia="Lucida Sans Unicode" w:hAnsi="Century Gothic" w:cs="Arial"/>
          <w:b/>
          <w:bCs/>
          <w:kern w:val="1"/>
          <w:sz w:val="21"/>
          <w:szCs w:val="21"/>
          <w:lang w:eastAsia="pt-BR"/>
        </w:rPr>
        <w:t>,00</w:t>
      </w:r>
    </w:p>
    <w:p w14:paraId="13B4CA56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1"/>
          <w:szCs w:val="21"/>
          <w:lang w:eastAsia="ar-SA"/>
        </w:rPr>
      </w:pPr>
      <w:r w:rsidRPr="0086793E">
        <w:rPr>
          <w:rFonts w:ascii="Arial" w:eastAsia="Lucida Sans Unicode" w:hAnsi="Arial" w:cs="Arial"/>
          <w:kern w:val="1"/>
          <w:sz w:val="21"/>
          <w:szCs w:val="21"/>
          <w:lang w:eastAsia="pt-BR"/>
        </w:rPr>
        <w:t xml:space="preserve">                                                                                                                =============</w:t>
      </w:r>
    </w:p>
    <w:p w14:paraId="19C2FF8A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Times New Roman"/>
          <w:kern w:val="1"/>
          <w:sz w:val="21"/>
          <w:szCs w:val="21"/>
          <w:lang w:eastAsia="pt-BR"/>
        </w:rPr>
      </w:pPr>
    </w:p>
    <w:p w14:paraId="68D210BF" w14:textId="77777777" w:rsidR="0086793E" w:rsidRPr="0086793E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Times New Roman"/>
          <w:kern w:val="1"/>
          <w:sz w:val="21"/>
          <w:szCs w:val="21"/>
          <w:lang w:eastAsia="pt-BR"/>
        </w:rPr>
      </w:pPr>
    </w:p>
    <w:p w14:paraId="5DD95164" w14:textId="751459A5" w:rsidR="0086793E" w:rsidRPr="00E72991" w:rsidRDefault="0086793E" w:rsidP="0086793E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</w:pPr>
      <w:r w:rsidRPr="0086793E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ab/>
        <w:t xml:space="preserve">       </w:t>
      </w:r>
      <w:r w:rsidRPr="00E72991">
        <w:rPr>
          <w:rFonts w:ascii="Century Gothic" w:eastAsia="Times New Roman" w:hAnsi="Century Gothic" w:cs="Tahoma"/>
          <w:kern w:val="1"/>
          <w:sz w:val="21"/>
          <w:szCs w:val="21"/>
          <w:lang w:eastAsia="pt-BR"/>
        </w:rPr>
        <w:t>Art. 4º Esta Lei entra em vigor na data da sua publicação.</w:t>
      </w:r>
    </w:p>
    <w:p w14:paraId="3F52CFDB" w14:textId="77777777" w:rsidR="00ED4AFE" w:rsidRPr="00E72991" w:rsidRDefault="00ED4AFE" w:rsidP="00ED4AFE">
      <w:pPr>
        <w:pStyle w:val="SemEspaamento"/>
        <w:rPr>
          <w:bCs/>
          <w:sz w:val="21"/>
          <w:szCs w:val="21"/>
        </w:rPr>
      </w:pPr>
    </w:p>
    <w:p w14:paraId="66FCCA8A" w14:textId="77777777" w:rsidR="00ED4AFE" w:rsidRPr="00E72991" w:rsidRDefault="00ED4AFE" w:rsidP="00ED4AFE">
      <w:pPr>
        <w:pStyle w:val="SemEspaamento"/>
        <w:rPr>
          <w:bCs/>
          <w:sz w:val="21"/>
          <w:szCs w:val="21"/>
        </w:rPr>
      </w:pPr>
    </w:p>
    <w:p w14:paraId="08DAD7B5" w14:textId="4335C9E5" w:rsidR="00052147" w:rsidRPr="001A2265" w:rsidRDefault="00C342ED" w:rsidP="00C342ED">
      <w:pPr>
        <w:tabs>
          <w:tab w:val="left" w:pos="992"/>
          <w:tab w:val="left" w:leader="dot" w:pos="7428"/>
        </w:tabs>
        <w:spacing w:line="240" w:lineRule="auto"/>
        <w:ind w:right="28" w:firstLine="1418"/>
        <w:jc w:val="both"/>
        <w:rPr>
          <w:rFonts w:ascii="Century Gothic" w:hAnsi="Century Gothic"/>
          <w:sz w:val="24"/>
          <w:szCs w:val="24"/>
        </w:rPr>
      </w:pPr>
      <w:r w:rsidRPr="00E72991">
        <w:rPr>
          <w:rFonts w:ascii="Century Gothic" w:eastAsia="Times New Roman" w:hAnsi="Century Gothic" w:cs="Tahoma"/>
          <w:sz w:val="21"/>
          <w:szCs w:val="21"/>
        </w:rPr>
        <w:t xml:space="preserve">GABINETE DO PRESIDENTE, em </w:t>
      </w:r>
      <w:r w:rsidR="00EA6333" w:rsidRPr="00E72991">
        <w:rPr>
          <w:rFonts w:ascii="Century Gothic" w:eastAsia="Times New Roman" w:hAnsi="Century Gothic" w:cs="Tahoma"/>
          <w:sz w:val="21"/>
          <w:szCs w:val="21"/>
        </w:rPr>
        <w:t>20</w:t>
      </w:r>
      <w:r w:rsidRPr="00E72991">
        <w:rPr>
          <w:rFonts w:ascii="Century Gothic" w:eastAsia="Times New Roman" w:hAnsi="Century Gothic" w:cs="Tahoma"/>
          <w:sz w:val="21"/>
          <w:szCs w:val="21"/>
        </w:rPr>
        <w:t xml:space="preserve"> de outubro de 2021.</w:t>
      </w:r>
      <w:r w:rsidRPr="001A2265">
        <w:rPr>
          <w:rFonts w:ascii="Century Gothic" w:hAnsi="Century Gothic"/>
          <w:sz w:val="24"/>
          <w:szCs w:val="24"/>
        </w:rPr>
        <w:t xml:space="preserve"> </w:t>
      </w:r>
    </w:p>
    <w:p w14:paraId="4E91E59D" w14:textId="52191D12" w:rsidR="00052147" w:rsidRPr="001A2265" w:rsidRDefault="00C342ED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A2265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D6AE8D" wp14:editId="628AC203">
            <wp:simplePos x="0" y="0"/>
            <wp:positionH relativeFrom="column">
              <wp:posOffset>617551</wp:posOffset>
            </wp:positionH>
            <wp:positionV relativeFrom="paragraph">
              <wp:posOffset>35560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A4A9" w14:textId="35EFF865" w:rsidR="00612DD5" w:rsidRPr="001A2265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2FCC39" w14:textId="67162122" w:rsidR="00612DD5" w:rsidRPr="001A2265" w:rsidRDefault="00612DD5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1A9D43E" w14:textId="531D1379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1A2265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1A2265" w:rsidRDefault="0084335C" w:rsidP="00E771B1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1A2265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85C98" w14:textId="77777777" w:rsidR="000A6670" w:rsidRDefault="000A6670" w:rsidP="003C0F2A">
      <w:pPr>
        <w:spacing w:after="0" w:line="240" w:lineRule="auto"/>
      </w:pPr>
      <w:r>
        <w:separator/>
      </w:r>
    </w:p>
  </w:endnote>
  <w:endnote w:type="continuationSeparator" w:id="0">
    <w:p w14:paraId="555D8CE9" w14:textId="77777777" w:rsidR="000A6670" w:rsidRDefault="000A667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09283" w14:textId="77777777" w:rsidR="000A6670" w:rsidRDefault="000A6670" w:rsidP="003C0F2A">
      <w:pPr>
        <w:spacing w:after="0" w:line="240" w:lineRule="auto"/>
      </w:pPr>
      <w:r>
        <w:separator/>
      </w:r>
    </w:p>
  </w:footnote>
  <w:footnote w:type="continuationSeparator" w:id="0">
    <w:p w14:paraId="6B55CF50" w14:textId="77777777" w:rsidR="000A6670" w:rsidRDefault="000A667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72F8C"/>
    <w:rsid w:val="000771AC"/>
    <w:rsid w:val="00080298"/>
    <w:rsid w:val="0008646F"/>
    <w:rsid w:val="00086634"/>
    <w:rsid w:val="00093D69"/>
    <w:rsid w:val="000A313E"/>
    <w:rsid w:val="000A6670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28EF"/>
    <w:rsid w:val="00143E28"/>
    <w:rsid w:val="00144521"/>
    <w:rsid w:val="0014752A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95FC5"/>
    <w:rsid w:val="002A60F6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9E8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2016A"/>
    <w:rsid w:val="00824BDF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20662"/>
    <w:rsid w:val="0092776E"/>
    <w:rsid w:val="00952692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195"/>
    <w:rsid w:val="00BD7210"/>
    <w:rsid w:val="00BE2248"/>
    <w:rsid w:val="00BE337C"/>
    <w:rsid w:val="00BF53DD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2991"/>
    <w:rsid w:val="00E76022"/>
    <w:rsid w:val="00E771B1"/>
    <w:rsid w:val="00E8593A"/>
    <w:rsid w:val="00E878E7"/>
    <w:rsid w:val="00E87AAF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1F1C"/>
    <w:rsid w:val="00ED4AFE"/>
    <w:rsid w:val="00ED5550"/>
    <w:rsid w:val="00ED74C5"/>
    <w:rsid w:val="00EE0160"/>
    <w:rsid w:val="00EE0523"/>
    <w:rsid w:val="00EE46F3"/>
    <w:rsid w:val="00EE4DAA"/>
    <w:rsid w:val="00EF168C"/>
    <w:rsid w:val="00EF1DAB"/>
    <w:rsid w:val="00EF3C7A"/>
    <w:rsid w:val="00F10BD8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DCE5-388C-4BE6-A16B-AFF3F899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2021-06-08T12:32:00Z</cp:lastPrinted>
  <dcterms:created xsi:type="dcterms:W3CDTF">2021-10-20T12:10:00Z</dcterms:created>
  <dcterms:modified xsi:type="dcterms:W3CDTF">2021-10-20T12:37:00Z</dcterms:modified>
</cp:coreProperties>
</file>