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 w:rsidR="004E17F6">
        <w:rPr>
          <w:rFonts w:ascii="Century Gothic" w:hAnsi="Century Gothic"/>
          <w:b/>
          <w:bCs/>
          <w:caps/>
        </w:rPr>
        <w:t>0</w:t>
      </w:r>
      <w:r w:rsidR="00A21208">
        <w:rPr>
          <w:rFonts w:ascii="Century Gothic" w:hAnsi="Century Gothic"/>
          <w:b/>
          <w:bCs/>
          <w:caps/>
        </w:rPr>
        <w:t>8</w:t>
      </w:r>
      <w:r w:rsidR="00FB0F0E">
        <w:rPr>
          <w:rFonts w:ascii="Century Gothic" w:hAnsi="Century Gothic"/>
          <w:b/>
          <w:bCs/>
          <w:caps/>
        </w:rPr>
        <w:t>/</w:t>
      </w:r>
      <w:r w:rsidR="00B047BA" w:rsidRPr="00E9441A">
        <w:rPr>
          <w:rFonts w:ascii="Century Gothic" w:hAnsi="Century Gothic"/>
          <w:b/>
          <w:bCs/>
          <w:caps/>
        </w:rPr>
        <w:t>201</w:t>
      </w:r>
      <w:r w:rsidR="004E17F6">
        <w:rPr>
          <w:rFonts w:ascii="Century Gothic" w:hAnsi="Century Gothic"/>
          <w:b/>
          <w:bCs/>
          <w:caps/>
        </w:rPr>
        <w:t>8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147882">
        <w:rPr>
          <w:rFonts w:ascii="Century Gothic" w:hAnsi="Century Gothic"/>
          <w:b/>
          <w:bCs/>
          <w:caps/>
        </w:rPr>
        <w:t>L</w:t>
      </w:r>
      <w:r w:rsidR="00B047BA" w:rsidRPr="00E9441A">
        <w:rPr>
          <w:rFonts w:ascii="Century Gothic" w:hAnsi="Century Gothic"/>
          <w:b/>
          <w:bCs/>
          <w:caps/>
        </w:rPr>
        <w:t> </w:t>
      </w:r>
    </w:p>
    <w:p w:rsidR="00EA7E87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A21208">
        <w:rPr>
          <w:rFonts w:ascii="Century Gothic" w:hAnsi="Century Gothic"/>
        </w:rPr>
        <w:t>02 de março</w:t>
      </w:r>
      <w:r w:rsidR="00453289">
        <w:rPr>
          <w:rFonts w:ascii="Century Gothic" w:hAnsi="Century Gothic"/>
        </w:rPr>
        <w:t xml:space="preserve"> </w:t>
      </w:r>
      <w:r w:rsidR="00FB0F0E">
        <w:rPr>
          <w:rFonts w:ascii="Century Gothic" w:hAnsi="Century Gothic"/>
        </w:rPr>
        <w:t>de 201</w:t>
      </w:r>
      <w:r w:rsidR="007F081C">
        <w:rPr>
          <w:rFonts w:ascii="Century Gothic" w:hAnsi="Century Gothic"/>
        </w:rPr>
        <w:t>8</w:t>
      </w:r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453289">
        <w:rPr>
          <w:rFonts w:ascii="Century Gothic" w:hAnsi="Century Gothic"/>
          <w:b/>
          <w:bCs/>
        </w:rPr>
        <w:t>3</w:t>
      </w:r>
      <w:r w:rsidR="00A21208">
        <w:rPr>
          <w:rFonts w:ascii="Century Gothic" w:hAnsi="Century Gothic"/>
          <w:b/>
          <w:bCs/>
        </w:rPr>
        <w:t>4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453289">
        <w:rPr>
          <w:rFonts w:ascii="Century Gothic" w:hAnsi="Century Gothic"/>
        </w:rPr>
        <w:t xml:space="preserve"> e extraordinária</w:t>
      </w:r>
      <w:r w:rsidRPr="00E9441A">
        <w:rPr>
          <w:rFonts w:ascii="Century Gothic" w:hAnsi="Century Gothic"/>
        </w:rPr>
        <w:t xml:space="preserve">, por </w:t>
      </w:r>
      <w:r w:rsidR="00147882">
        <w:rPr>
          <w:rFonts w:ascii="Century Gothic" w:hAnsi="Century Gothic"/>
        </w:rPr>
        <w:t xml:space="preserve">unanimidade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F26926" w:rsidRPr="00E9441A" w:rsidRDefault="00A21208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ESTABELECE A OBRIGATORIEDADE DE COLOCAÇÃO DE PLACA INFORMANDO OS MOTIVOS DAS PARALIZAÇÕES DAS OBRAS PÚBLICAS MUNICIPAIS, E DÁ OUTRAS PROVIDÊNCIAS</w:t>
      </w:r>
      <w:r w:rsidR="006208A8">
        <w:rPr>
          <w:sz w:val="24"/>
        </w:rPr>
        <w:t>.</w:t>
      </w: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227B2">
        <w:rPr>
          <w:rFonts w:ascii="Century Gothic" w:hAnsi="Century Gothic"/>
          <w:sz w:val="24"/>
          <w:szCs w:val="24"/>
        </w:rPr>
        <w:t>Art. 1º</w:t>
      </w:r>
      <w:r>
        <w:rPr>
          <w:rFonts w:ascii="Century Gothic" w:hAnsi="Century Gothic"/>
          <w:sz w:val="24"/>
          <w:szCs w:val="24"/>
        </w:rPr>
        <w:t xml:space="preserve"> Sempre que houver a paralisação de obra pública municipal, deverá ser instalado no local pelo Poder Executivo Municipal, através da administração direta ou indireta, uma </w:t>
      </w:r>
      <w:r w:rsidRPr="003227B2">
        <w:rPr>
          <w:rFonts w:ascii="Century Gothic" w:hAnsi="Century Gothic"/>
          <w:sz w:val="24"/>
          <w:szCs w:val="24"/>
        </w:rPr>
        <w:t xml:space="preserve">placa </w:t>
      </w:r>
      <w:r>
        <w:rPr>
          <w:rFonts w:ascii="Century Gothic" w:hAnsi="Century Gothic"/>
          <w:sz w:val="24"/>
          <w:szCs w:val="24"/>
        </w:rPr>
        <w:t>informativa</w:t>
      </w:r>
      <w:r w:rsidRPr="003227B2">
        <w:rPr>
          <w:rFonts w:ascii="Century Gothic" w:hAnsi="Century Gothic"/>
          <w:sz w:val="24"/>
          <w:szCs w:val="24"/>
        </w:rPr>
        <w:t xml:space="preserve"> contendo de</w:t>
      </w:r>
      <w:r>
        <w:rPr>
          <w:rFonts w:ascii="Century Gothic" w:hAnsi="Century Gothic"/>
          <w:sz w:val="24"/>
          <w:szCs w:val="24"/>
        </w:rPr>
        <w:t xml:space="preserve"> forma resumida a</w:t>
      </w:r>
      <w:r w:rsidRPr="003227B2">
        <w:rPr>
          <w:rFonts w:ascii="Century Gothic" w:hAnsi="Century Gothic"/>
          <w:sz w:val="24"/>
          <w:szCs w:val="24"/>
        </w:rPr>
        <w:t xml:space="preserve"> exposição dos motivos </w:t>
      </w:r>
      <w:r>
        <w:rPr>
          <w:rFonts w:ascii="Century Gothic" w:hAnsi="Century Gothic"/>
          <w:sz w:val="24"/>
          <w:szCs w:val="24"/>
        </w:rPr>
        <w:t>que levaram à sua paralisação, bem como informações acerca da previsão de continuidade das obras</w:t>
      </w:r>
      <w:r w:rsidRPr="003227B2">
        <w:rPr>
          <w:rFonts w:ascii="Century Gothic" w:hAnsi="Century Gothic"/>
          <w:sz w:val="24"/>
          <w:szCs w:val="24"/>
        </w:rPr>
        <w:t>.</w:t>
      </w:r>
    </w:p>
    <w:p w:rsidR="00030C6A" w:rsidRPr="003227B2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227B2">
        <w:rPr>
          <w:rFonts w:ascii="Century Gothic" w:hAnsi="Century Gothic"/>
          <w:sz w:val="24"/>
          <w:szCs w:val="24"/>
        </w:rPr>
        <w:t>Parágrafo único. Considerar-se-á obra paralisada, para efeitos desta Lei, aquela com atividades</w:t>
      </w:r>
      <w:r>
        <w:rPr>
          <w:rFonts w:ascii="Century Gothic" w:hAnsi="Century Gothic"/>
          <w:sz w:val="24"/>
          <w:szCs w:val="24"/>
        </w:rPr>
        <w:t xml:space="preserve"> </w:t>
      </w:r>
      <w:r w:rsidRPr="003227B2">
        <w:rPr>
          <w:rFonts w:ascii="Century Gothic" w:hAnsi="Century Gothic"/>
          <w:sz w:val="24"/>
          <w:szCs w:val="24"/>
        </w:rPr>
        <w:t>interrompidas por mais de 30 (trinta) dias</w:t>
      </w:r>
      <w:r>
        <w:rPr>
          <w:rFonts w:ascii="Century Gothic" w:hAnsi="Century Gothic"/>
          <w:sz w:val="24"/>
          <w:szCs w:val="24"/>
        </w:rPr>
        <w:t xml:space="preserve"> consecutivos</w:t>
      </w:r>
      <w:r w:rsidRPr="003227B2">
        <w:rPr>
          <w:rFonts w:ascii="Century Gothic" w:hAnsi="Century Gothic"/>
          <w:sz w:val="24"/>
          <w:szCs w:val="24"/>
        </w:rPr>
        <w:t>.</w:t>
      </w: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A exposição de motivos, bem como as informações acerca da previsão de continuidade das obras, dever</w:t>
      </w:r>
      <w:r w:rsidR="00B24BC1"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</w:rPr>
        <w:t xml:space="preserve"> limitar-se à argumentos técnicos, sendo vedada a utilização de argumentos políticos e a menção </w:t>
      </w:r>
      <w:r w:rsidR="007F4D8E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 xml:space="preserve"> qualquer administração pretérita ou futura, bem como deverá respeitar o §1º do </w:t>
      </w:r>
      <w:r w:rsidR="007F4D8E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rtigo da Constituição Federal.</w:t>
      </w: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227B2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3º</w:t>
      </w:r>
      <w:r w:rsidRPr="003227B2">
        <w:rPr>
          <w:rFonts w:ascii="Century Gothic" w:hAnsi="Century Gothic"/>
          <w:sz w:val="24"/>
          <w:szCs w:val="24"/>
        </w:rPr>
        <w:t xml:space="preserve"> Além </w:t>
      </w:r>
      <w:r>
        <w:rPr>
          <w:rFonts w:ascii="Century Gothic" w:hAnsi="Century Gothic"/>
          <w:sz w:val="24"/>
          <w:szCs w:val="24"/>
        </w:rPr>
        <w:t>do previsto no artigo anterior</w:t>
      </w:r>
      <w:r w:rsidRPr="003227B2">
        <w:rPr>
          <w:rFonts w:ascii="Century Gothic" w:hAnsi="Century Gothic"/>
          <w:sz w:val="24"/>
          <w:szCs w:val="24"/>
        </w:rPr>
        <w:t>, deverá estar disponível o telefone do órgão público</w:t>
      </w:r>
      <w:r>
        <w:rPr>
          <w:rFonts w:ascii="Century Gothic" w:hAnsi="Century Gothic"/>
          <w:sz w:val="24"/>
          <w:szCs w:val="24"/>
        </w:rPr>
        <w:t xml:space="preserve"> </w:t>
      </w:r>
      <w:r w:rsidRPr="003227B2">
        <w:rPr>
          <w:rFonts w:ascii="Century Gothic" w:hAnsi="Century Gothic"/>
          <w:sz w:val="24"/>
          <w:szCs w:val="24"/>
        </w:rPr>
        <w:t>responsável pela obra e o prazo de paralisação.</w:t>
      </w:r>
    </w:p>
    <w:p w:rsidR="00030C6A" w:rsidRPr="003227B2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30C6A" w:rsidRPr="003227B2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227B2">
        <w:rPr>
          <w:rFonts w:ascii="Century Gothic" w:hAnsi="Century Gothic"/>
          <w:sz w:val="24"/>
          <w:szCs w:val="24"/>
        </w:rPr>
        <w:t>§ 1º A placa deverá ser colocada em local e tamanho visíveis aos cidadãos, tendo como medida</w:t>
      </w:r>
      <w:r>
        <w:rPr>
          <w:rFonts w:ascii="Century Gothic" w:hAnsi="Century Gothic"/>
          <w:sz w:val="24"/>
          <w:szCs w:val="24"/>
        </w:rPr>
        <w:t xml:space="preserve"> </w:t>
      </w:r>
      <w:r w:rsidRPr="003227B2">
        <w:rPr>
          <w:rFonts w:ascii="Century Gothic" w:hAnsi="Century Gothic"/>
          <w:sz w:val="24"/>
          <w:szCs w:val="24"/>
        </w:rPr>
        <w:t xml:space="preserve">mínima </w:t>
      </w:r>
      <w:r>
        <w:rPr>
          <w:rFonts w:ascii="Century Gothic" w:hAnsi="Century Gothic"/>
          <w:sz w:val="24"/>
          <w:szCs w:val="24"/>
        </w:rPr>
        <w:t>1 (</w:t>
      </w:r>
      <w:r w:rsidRPr="003227B2">
        <w:rPr>
          <w:rFonts w:ascii="Century Gothic" w:hAnsi="Century Gothic"/>
          <w:sz w:val="24"/>
          <w:szCs w:val="24"/>
        </w:rPr>
        <w:t>um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)</w:t>
      </w:r>
      <w:r w:rsidRPr="003227B2">
        <w:rPr>
          <w:rFonts w:ascii="Century Gothic" w:hAnsi="Century Gothic"/>
          <w:sz w:val="24"/>
          <w:szCs w:val="24"/>
        </w:rPr>
        <w:t xml:space="preserve"> metro quadrado</w:t>
      </w:r>
      <w:r>
        <w:rPr>
          <w:rFonts w:ascii="Century Gothic" w:hAnsi="Century Gothic"/>
          <w:sz w:val="24"/>
          <w:szCs w:val="24"/>
        </w:rPr>
        <w:t xml:space="preserve"> e fonte com no mínimo 3 (três) centímetros de altura</w:t>
      </w:r>
      <w:r w:rsidRPr="003227B2">
        <w:rPr>
          <w:rFonts w:ascii="Century Gothic" w:hAnsi="Century Gothic"/>
          <w:sz w:val="24"/>
          <w:szCs w:val="24"/>
        </w:rPr>
        <w:t>.</w:t>
      </w:r>
    </w:p>
    <w:p w:rsidR="008B266E" w:rsidRDefault="008B266E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30C6A" w:rsidRPr="003227B2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227B2">
        <w:rPr>
          <w:rFonts w:ascii="Century Gothic" w:hAnsi="Century Gothic"/>
          <w:sz w:val="24"/>
          <w:szCs w:val="24"/>
        </w:rPr>
        <w:t>§ 2º A instalação da placa é de incumbência do órgão público responsável pela obra.</w:t>
      </w: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30C6A" w:rsidRPr="003227B2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227B2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4</w:t>
      </w:r>
      <w:r w:rsidRPr="003227B2">
        <w:rPr>
          <w:rFonts w:ascii="Century Gothic" w:hAnsi="Century Gothic"/>
          <w:sz w:val="24"/>
          <w:szCs w:val="24"/>
        </w:rPr>
        <w:t xml:space="preserve">º Ultrapassado o prazo de paralisação de que trata o </w:t>
      </w:r>
      <w:r>
        <w:rPr>
          <w:rFonts w:ascii="Century Gothic" w:hAnsi="Century Gothic"/>
          <w:sz w:val="24"/>
          <w:szCs w:val="24"/>
        </w:rPr>
        <w:t>P</w:t>
      </w:r>
      <w:r w:rsidRPr="003227B2">
        <w:rPr>
          <w:rFonts w:ascii="Century Gothic" w:hAnsi="Century Gothic"/>
          <w:sz w:val="24"/>
          <w:szCs w:val="24"/>
        </w:rPr>
        <w:t xml:space="preserve">arágrafo Único do </w:t>
      </w:r>
      <w:r>
        <w:rPr>
          <w:rFonts w:ascii="Century Gothic" w:hAnsi="Century Gothic"/>
          <w:sz w:val="24"/>
          <w:szCs w:val="24"/>
        </w:rPr>
        <w:t xml:space="preserve">Artigo </w:t>
      </w:r>
      <w:r w:rsidRPr="003227B2">
        <w:rPr>
          <w:rFonts w:ascii="Century Gothic" w:hAnsi="Century Gothic"/>
          <w:sz w:val="24"/>
          <w:szCs w:val="24"/>
        </w:rPr>
        <w:t>1º desta Lei, o</w:t>
      </w:r>
      <w:r>
        <w:rPr>
          <w:rFonts w:ascii="Century Gothic" w:hAnsi="Century Gothic"/>
          <w:sz w:val="24"/>
          <w:szCs w:val="24"/>
        </w:rPr>
        <w:t xml:space="preserve"> </w:t>
      </w:r>
      <w:r w:rsidRPr="003227B2">
        <w:rPr>
          <w:rFonts w:ascii="Century Gothic" w:hAnsi="Century Gothic"/>
          <w:sz w:val="24"/>
          <w:szCs w:val="24"/>
        </w:rPr>
        <w:t>órgão público responsável pela obra deverá remeter à Câmara de Vereadores e ao Tribunal de</w:t>
      </w:r>
      <w:r>
        <w:rPr>
          <w:rFonts w:ascii="Century Gothic" w:hAnsi="Century Gothic"/>
          <w:sz w:val="24"/>
          <w:szCs w:val="24"/>
        </w:rPr>
        <w:t xml:space="preserve"> </w:t>
      </w:r>
      <w:r w:rsidRPr="003227B2">
        <w:rPr>
          <w:rFonts w:ascii="Century Gothic" w:hAnsi="Century Gothic"/>
          <w:sz w:val="24"/>
          <w:szCs w:val="24"/>
        </w:rPr>
        <w:t xml:space="preserve">Contas do Estado </w:t>
      </w:r>
      <w:r>
        <w:rPr>
          <w:rFonts w:ascii="Century Gothic" w:hAnsi="Century Gothic"/>
          <w:sz w:val="24"/>
          <w:szCs w:val="24"/>
        </w:rPr>
        <w:t>do Paraná</w:t>
      </w:r>
      <w:r w:rsidRPr="003227B2">
        <w:rPr>
          <w:rFonts w:ascii="Century Gothic" w:hAnsi="Century Gothic"/>
          <w:sz w:val="24"/>
          <w:szCs w:val="24"/>
        </w:rPr>
        <w:t>, no prazo máximo de 30 (trinta) dias, relatório detalhado</w:t>
      </w:r>
      <w:r>
        <w:rPr>
          <w:rFonts w:ascii="Century Gothic" w:hAnsi="Century Gothic"/>
          <w:sz w:val="24"/>
          <w:szCs w:val="24"/>
        </w:rPr>
        <w:t xml:space="preserve"> </w:t>
      </w:r>
      <w:r w:rsidRPr="003227B2">
        <w:rPr>
          <w:rFonts w:ascii="Century Gothic" w:hAnsi="Century Gothic"/>
          <w:sz w:val="24"/>
          <w:szCs w:val="24"/>
        </w:rPr>
        <w:t>justificando os motivos da paralisação da obra.</w:t>
      </w: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</w:t>
      </w:r>
      <w:r w:rsidRPr="003227B2">
        <w:rPr>
          <w:rFonts w:ascii="Century Gothic" w:hAnsi="Century Gothic"/>
          <w:sz w:val="24"/>
          <w:szCs w:val="24"/>
        </w:rPr>
        <w:t xml:space="preserve">. Deverá o órgão público responsável pela obra disponibilizar no </w:t>
      </w:r>
      <w:r>
        <w:rPr>
          <w:rFonts w:ascii="Century Gothic" w:hAnsi="Century Gothic"/>
          <w:sz w:val="24"/>
          <w:szCs w:val="24"/>
        </w:rPr>
        <w:t>P</w:t>
      </w:r>
      <w:r w:rsidRPr="003227B2">
        <w:rPr>
          <w:rFonts w:ascii="Century Gothic" w:hAnsi="Century Gothic"/>
          <w:sz w:val="24"/>
          <w:szCs w:val="24"/>
        </w:rPr>
        <w:t xml:space="preserve">ortal da </w:t>
      </w:r>
      <w:r>
        <w:rPr>
          <w:rFonts w:ascii="Century Gothic" w:hAnsi="Century Gothic"/>
          <w:sz w:val="24"/>
          <w:szCs w:val="24"/>
        </w:rPr>
        <w:t>T</w:t>
      </w:r>
      <w:r w:rsidRPr="003227B2">
        <w:rPr>
          <w:rFonts w:ascii="Century Gothic" w:hAnsi="Century Gothic"/>
          <w:sz w:val="24"/>
          <w:szCs w:val="24"/>
        </w:rPr>
        <w:t>ransparência o relatório de que trata o caput deste artigo para que qualquer cidadão</w:t>
      </w:r>
      <w:r>
        <w:rPr>
          <w:rFonts w:ascii="Century Gothic" w:hAnsi="Century Gothic"/>
          <w:sz w:val="24"/>
          <w:szCs w:val="24"/>
        </w:rPr>
        <w:t xml:space="preserve"> </w:t>
      </w:r>
      <w:r w:rsidRPr="003227B2">
        <w:rPr>
          <w:rFonts w:ascii="Century Gothic" w:hAnsi="Century Gothic"/>
          <w:sz w:val="24"/>
          <w:szCs w:val="24"/>
        </w:rPr>
        <w:t>tenha acesso aos motivos da interrupção da obra de forma detalhada.</w:t>
      </w: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Art. 5º O descumprimento da presente legislação acarretará na responsabilidade do Prefeito Municipal e do responsável pela obra paralisada.</w:t>
      </w:r>
    </w:p>
    <w:p w:rsidR="008B266E" w:rsidRDefault="008B266E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6º A placa de que trata a presente Lei poderá ser confeccionada em material reaproveitável, de forma a não gerar qualquer custo para o erário.</w:t>
      </w: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30C6A" w:rsidRDefault="00030C6A" w:rsidP="00030C6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7º</w:t>
      </w:r>
      <w:r w:rsidRPr="00936243">
        <w:rPr>
          <w:rFonts w:ascii="Century Gothic" w:hAnsi="Century Gothic"/>
          <w:sz w:val="24"/>
          <w:szCs w:val="24"/>
        </w:rPr>
        <w:t xml:space="preserve"> Esta Lei entra em vigor </w:t>
      </w:r>
      <w:r>
        <w:rPr>
          <w:rFonts w:ascii="Century Gothic" w:hAnsi="Century Gothic"/>
          <w:sz w:val="24"/>
          <w:szCs w:val="24"/>
        </w:rPr>
        <w:t>na data de sua publicação.</w:t>
      </w:r>
    </w:p>
    <w:p w:rsidR="00344D08" w:rsidRDefault="00344D08" w:rsidP="00344D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5331A" w:rsidRPr="00E9441A" w:rsidRDefault="009864C6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466F6F">
        <w:rPr>
          <w:rFonts w:ascii="Century Gothic" w:hAnsi="Century Gothic"/>
          <w:b/>
          <w:sz w:val="24"/>
          <w:szCs w:val="24"/>
        </w:rPr>
        <w:t>1</w:t>
      </w:r>
      <w:r w:rsidR="00344D08">
        <w:rPr>
          <w:rFonts w:ascii="Century Gothic" w:hAnsi="Century Gothic"/>
          <w:b/>
          <w:sz w:val="24"/>
          <w:szCs w:val="24"/>
        </w:rPr>
        <w:t>9</w:t>
      </w:r>
      <w:r w:rsidR="0097569B">
        <w:rPr>
          <w:rFonts w:ascii="Century Gothic" w:hAnsi="Century Gothic"/>
          <w:b/>
          <w:sz w:val="24"/>
          <w:szCs w:val="24"/>
        </w:rPr>
        <w:t xml:space="preserve"> de abril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BA19AA" w:rsidRDefault="00BA19AA" w:rsidP="0015331A">
      <w:pPr>
        <w:jc w:val="center"/>
        <w:rPr>
          <w:rFonts w:ascii="Century Gothic" w:hAnsi="Century Gothic"/>
          <w:b/>
        </w:rPr>
      </w:pPr>
    </w:p>
    <w:p w:rsidR="003E3D35" w:rsidRDefault="003E3D35" w:rsidP="0015331A">
      <w:pPr>
        <w:jc w:val="center"/>
        <w:rPr>
          <w:rFonts w:ascii="Century Gothic" w:hAnsi="Century Gothic"/>
          <w:b/>
        </w:rPr>
      </w:pPr>
    </w:p>
    <w:p w:rsidR="0004551F" w:rsidRDefault="0004551F" w:rsidP="0015331A">
      <w:pPr>
        <w:jc w:val="center"/>
        <w:rPr>
          <w:rFonts w:ascii="Century Gothic" w:hAnsi="Century Gothic"/>
          <w:b/>
        </w:rPr>
      </w:pPr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04551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4BF" w:rsidRDefault="008074BF">
      <w:r>
        <w:separator/>
      </w:r>
    </w:p>
  </w:endnote>
  <w:endnote w:type="continuationSeparator" w:id="0">
    <w:p w:rsidR="008074BF" w:rsidRDefault="0080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4BF" w:rsidRDefault="008074BF">
      <w:r>
        <w:separator/>
      </w:r>
    </w:p>
  </w:footnote>
  <w:footnote w:type="continuationSeparator" w:id="0">
    <w:p w:rsidR="008074BF" w:rsidRDefault="00807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4BB5"/>
    <w:rsid w:val="000104C0"/>
    <w:rsid w:val="000111F5"/>
    <w:rsid w:val="00012012"/>
    <w:rsid w:val="0001307E"/>
    <w:rsid w:val="0002619F"/>
    <w:rsid w:val="00030469"/>
    <w:rsid w:val="00030516"/>
    <w:rsid w:val="00030C6A"/>
    <w:rsid w:val="00033504"/>
    <w:rsid w:val="000335BC"/>
    <w:rsid w:val="00033BD7"/>
    <w:rsid w:val="000340FC"/>
    <w:rsid w:val="00041C80"/>
    <w:rsid w:val="0004551F"/>
    <w:rsid w:val="00056055"/>
    <w:rsid w:val="00057845"/>
    <w:rsid w:val="00063807"/>
    <w:rsid w:val="00067528"/>
    <w:rsid w:val="00070F1C"/>
    <w:rsid w:val="00071F33"/>
    <w:rsid w:val="0007659F"/>
    <w:rsid w:val="000827E0"/>
    <w:rsid w:val="00083BAA"/>
    <w:rsid w:val="00085EEF"/>
    <w:rsid w:val="00094CA1"/>
    <w:rsid w:val="000952AC"/>
    <w:rsid w:val="000A3227"/>
    <w:rsid w:val="000A615A"/>
    <w:rsid w:val="000B0C53"/>
    <w:rsid w:val="000B38EC"/>
    <w:rsid w:val="000C11AB"/>
    <w:rsid w:val="000D26E0"/>
    <w:rsid w:val="000D50E7"/>
    <w:rsid w:val="000E7DBB"/>
    <w:rsid w:val="000F0739"/>
    <w:rsid w:val="000F1A80"/>
    <w:rsid w:val="000F7CD9"/>
    <w:rsid w:val="001040B1"/>
    <w:rsid w:val="00104869"/>
    <w:rsid w:val="00122134"/>
    <w:rsid w:val="00123FBD"/>
    <w:rsid w:val="001300C4"/>
    <w:rsid w:val="001316A7"/>
    <w:rsid w:val="001318C9"/>
    <w:rsid w:val="00133018"/>
    <w:rsid w:val="00143065"/>
    <w:rsid w:val="00147882"/>
    <w:rsid w:val="0015331A"/>
    <w:rsid w:val="00155011"/>
    <w:rsid w:val="00161709"/>
    <w:rsid w:val="0016730D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55A2"/>
    <w:rsid w:val="0025512D"/>
    <w:rsid w:val="00256619"/>
    <w:rsid w:val="002658BD"/>
    <w:rsid w:val="00265D83"/>
    <w:rsid w:val="00266B10"/>
    <w:rsid w:val="00266BA4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7A3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44D08"/>
    <w:rsid w:val="00357D96"/>
    <w:rsid w:val="00363E26"/>
    <w:rsid w:val="003663A6"/>
    <w:rsid w:val="00371FF1"/>
    <w:rsid w:val="0037255B"/>
    <w:rsid w:val="00376F4F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E3D35"/>
    <w:rsid w:val="003F0FCE"/>
    <w:rsid w:val="003F2EF7"/>
    <w:rsid w:val="00402117"/>
    <w:rsid w:val="00404D2D"/>
    <w:rsid w:val="00407ACC"/>
    <w:rsid w:val="00414885"/>
    <w:rsid w:val="00415B42"/>
    <w:rsid w:val="00427912"/>
    <w:rsid w:val="00443AC9"/>
    <w:rsid w:val="00447336"/>
    <w:rsid w:val="00453289"/>
    <w:rsid w:val="004563B4"/>
    <w:rsid w:val="0046281E"/>
    <w:rsid w:val="00465E0C"/>
    <w:rsid w:val="00466F6F"/>
    <w:rsid w:val="00484B8A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7B0D"/>
    <w:rsid w:val="004E0FB8"/>
    <w:rsid w:val="004E17F6"/>
    <w:rsid w:val="004E71B4"/>
    <w:rsid w:val="005013BC"/>
    <w:rsid w:val="00501439"/>
    <w:rsid w:val="005031C8"/>
    <w:rsid w:val="0050344F"/>
    <w:rsid w:val="005051D2"/>
    <w:rsid w:val="00505CFA"/>
    <w:rsid w:val="005073DD"/>
    <w:rsid w:val="00511D00"/>
    <w:rsid w:val="005136F3"/>
    <w:rsid w:val="005148BE"/>
    <w:rsid w:val="005158C9"/>
    <w:rsid w:val="0051725D"/>
    <w:rsid w:val="005215A3"/>
    <w:rsid w:val="005241DC"/>
    <w:rsid w:val="00525D18"/>
    <w:rsid w:val="00533A46"/>
    <w:rsid w:val="0053623E"/>
    <w:rsid w:val="00541771"/>
    <w:rsid w:val="00541A7D"/>
    <w:rsid w:val="005479E5"/>
    <w:rsid w:val="005605BA"/>
    <w:rsid w:val="00560F05"/>
    <w:rsid w:val="00561354"/>
    <w:rsid w:val="005646AE"/>
    <w:rsid w:val="0056629F"/>
    <w:rsid w:val="00567073"/>
    <w:rsid w:val="0057033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D5CED"/>
    <w:rsid w:val="005E2301"/>
    <w:rsid w:val="005E7C40"/>
    <w:rsid w:val="005F0196"/>
    <w:rsid w:val="005F4379"/>
    <w:rsid w:val="005F6495"/>
    <w:rsid w:val="006008B2"/>
    <w:rsid w:val="0060225F"/>
    <w:rsid w:val="00611C9C"/>
    <w:rsid w:val="00611FFD"/>
    <w:rsid w:val="006208A8"/>
    <w:rsid w:val="00622656"/>
    <w:rsid w:val="00632F1B"/>
    <w:rsid w:val="0064593F"/>
    <w:rsid w:val="0064606D"/>
    <w:rsid w:val="00670D8F"/>
    <w:rsid w:val="00691AA3"/>
    <w:rsid w:val="006A6D0E"/>
    <w:rsid w:val="006B3219"/>
    <w:rsid w:val="006B4185"/>
    <w:rsid w:val="006B5871"/>
    <w:rsid w:val="006D654A"/>
    <w:rsid w:val="006E0ED4"/>
    <w:rsid w:val="006E3BAC"/>
    <w:rsid w:val="006F20A5"/>
    <w:rsid w:val="006F4330"/>
    <w:rsid w:val="00702066"/>
    <w:rsid w:val="007064F2"/>
    <w:rsid w:val="00706779"/>
    <w:rsid w:val="00712B20"/>
    <w:rsid w:val="007145A6"/>
    <w:rsid w:val="00714FBB"/>
    <w:rsid w:val="007227D8"/>
    <w:rsid w:val="007230FB"/>
    <w:rsid w:val="00732472"/>
    <w:rsid w:val="00750355"/>
    <w:rsid w:val="00751F94"/>
    <w:rsid w:val="0075556C"/>
    <w:rsid w:val="00773072"/>
    <w:rsid w:val="00776296"/>
    <w:rsid w:val="00781F0E"/>
    <w:rsid w:val="007843F9"/>
    <w:rsid w:val="00787D06"/>
    <w:rsid w:val="00787E7B"/>
    <w:rsid w:val="00796BAE"/>
    <w:rsid w:val="007A5A71"/>
    <w:rsid w:val="007A5C10"/>
    <w:rsid w:val="007B44E0"/>
    <w:rsid w:val="007B517E"/>
    <w:rsid w:val="007D122B"/>
    <w:rsid w:val="007D3A4C"/>
    <w:rsid w:val="007E7BAB"/>
    <w:rsid w:val="007F081C"/>
    <w:rsid w:val="007F2CFD"/>
    <w:rsid w:val="007F4D8E"/>
    <w:rsid w:val="008017E2"/>
    <w:rsid w:val="00802275"/>
    <w:rsid w:val="008074BF"/>
    <w:rsid w:val="00811F15"/>
    <w:rsid w:val="008150A0"/>
    <w:rsid w:val="008163EA"/>
    <w:rsid w:val="00817972"/>
    <w:rsid w:val="008216FE"/>
    <w:rsid w:val="00822FD8"/>
    <w:rsid w:val="00825297"/>
    <w:rsid w:val="00827401"/>
    <w:rsid w:val="00833C47"/>
    <w:rsid w:val="00837163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A524F"/>
    <w:rsid w:val="008A6D4D"/>
    <w:rsid w:val="008B0176"/>
    <w:rsid w:val="008B13E4"/>
    <w:rsid w:val="008B266E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1D82"/>
    <w:rsid w:val="00912B79"/>
    <w:rsid w:val="0092105C"/>
    <w:rsid w:val="009232D6"/>
    <w:rsid w:val="00934575"/>
    <w:rsid w:val="00936B48"/>
    <w:rsid w:val="00942A1B"/>
    <w:rsid w:val="0095617E"/>
    <w:rsid w:val="009569AE"/>
    <w:rsid w:val="00957B77"/>
    <w:rsid w:val="009625C7"/>
    <w:rsid w:val="00963393"/>
    <w:rsid w:val="009717CA"/>
    <w:rsid w:val="0097569B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208"/>
    <w:rsid w:val="00A2157C"/>
    <w:rsid w:val="00A34738"/>
    <w:rsid w:val="00A35D4D"/>
    <w:rsid w:val="00A422CA"/>
    <w:rsid w:val="00A433A3"/>
    <w:rsid w:val="00A465EA"/>
    <w:rsid w:val="00A47B0A"/>
    <w:rsid w:val="00A47C6B"/>
    <w:rsid w:val="00A5212E"/>
    <w:rsid w:val="00A56900"/>
    <w:rsid w:val="00A61391"/>
    <w:rsid w:val="00A73593"/>
    <w:rsid w:val="00A7363C"/>
    <w:rsid w:val="00A856BE"/>
    <w:rsid w:val="00A90C1F"/>
    <w:rsid w:val="00A92A49"/>
    <w:rsid w:val="00A93E96"/>
    <w:rsid w:val="00A94649"/>
    <w:rsid w:val="00AA292A"/>
    <w:rsid w:val="00AB003B"/>
    <w:rsid w:val="00AB39AF"/>
    <w:rsid w:val="00AB6BD9"/>
    <w:rsid w:val="00AC0F54"/>
    <w:rsid w:val="00AC29C1"/>
    <w:rsid w:val="00AC5DC2"/>
    <w:rsid w:val="00AD7B1E"/>
    <w:rsid w:val="00AD7CDE"/>
    <w:rsid w:val="00AE228A"/>
    <w:rsid w:val="00AE327B"/>
    <w:rsid w:val="00AE44FD"/>
    <w:rsid w:val="00AE5464"/>
    <w:rsid w:val="00AE5755"/>
    <w:rsid w:val="00AF76F0"/>
    <w:rsid w:val="00B00934"/>
    <w:rsid w:val="00B047BA"/>
    <w:rsid w:val="00B076AF"/>
    <w:rsid w:val="00B135A3"/>
    <w:rsid w:val="00B136C7"/>
    <w:rsid w:val="00B143E4"/>
    <w:rsid w:val="00B24BC1"/>
    <w:rsid w:val="00B25863"/>
    <w:rsid w:val="00B346E0"/>
    <w:rsid w:val="00B34CB3"/>
    <w:rsid w:val="00B36BB5"/>
    <w:rsid w:val="00B37945"/>
    <w:rsid w:val="00B418BB"/>
    <w:rsid w:val="00B51E41"/>
    <w:rsid w:val="00B526EE"/>
    <w:rsid w:val="00B6315B"/>
    <w:rsid w:val="00B64E69"/>
    <w:rsid w:val="00B66114"/>
    <w:rsid w:val="00B66F10"/>
    <w:rsid w:val="00B70FFD"/>
    <w:rsid w:val="00B72C23"/>
    <w:rsid w:val="00B8148A"/>
    <w:rsid w:val="00B90BFA"/>
    <w:rsid w:val="00B92B99"/>
    <w:rsid w:val="00B93E45"/>
    <w:rsid w:val="00BA19AA"/>
    <w:rsid w:val="00BA2684"/>
    <w:rsid w:val="00BB5D9A"/>
    <w:rsid w:val="00BB7FCF"/>
    <w:rsid w:val="00BD0545"/>
    <w:rsid w:val="00BD2698"/>
    <w:rsid w:val="00BD271D"/>
    <w:rsid w:val="00BD499C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2082A"/>
    <w:rsid w:val="00C21A44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2579"/>
    <w:rsid w:val="00C9626A"/>
    <w:rsid w:val="00CA7729"/>
    <w:rsid w:val="00CA7771"/>
    <w:rsid w:val="00CB00B9"/>
    <w:rsid w:val="00CB3E73"/>
    <w:rsid w:val="00CB6995"/>
    <w:rsid w:val="00CC171F"/>
    <w:rsid w:val="00CC3E29"/>
    <w:rsid w:val="00CC468A"/>
    <w:rsid w:val="00CC4BB9"/>
    <w:rsid w:val="00CD1BA7"/>
    <w:rsid w:val="00CD2A59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36FB7"/>
    <w:rsid w:val="00E7199E"/>
    <w:rsid w:val="00E71B4B"/>
    <w:rsid w:val="00E73FDB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5BB8"/>
    <w:rsid w:val="00F26926"/>
    <w:rsid w:val="00F3111B"/>
    <w:rsid w:val="00F43984"/>
    <w:rsid w:val="00F4429F"/>
    <w:rsid w:val="00F4672D"/>
    <w:rsid w:val="00F63EA0"/>
    <w:rsid w:val="00F65D05"/>
    <w:rsid w:val="00F768E7"/>
    <w:rsid w:val="00F901F2"/>
    <w:rsid w:val="00F91E6A"/>
    <w:rsid w:val="00FA12A4"/>
    <w:rsid w:val="00FA3CDB"/>
    <w:rsid w:val="00FA689C"/>
    <w:rsid w:val="00FB0F0E"/>
    <w:rsid w:val="00FB549B"/>
    <w:rsid w:val="00FC365D"/>
    <w:rsid w:val="00FD51F2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23F9-4F99-42C2-9384-F7855588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9</cp:revision>
  <cp:lastPrinted>2018-04-04T14:19:00Z</cp:lastPrinted>
  <dcterms:created xsi:type="dcterms:W3CDTF">2018-04-19T18:47:00Z</dcterms:created>
  <dcterms:modified xsi:type="dcterms:W3CDTF">2018-04-19T18:52:00Z</dcterms:modified>
</cp:coreProperties>
</file>