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F43984" w:rsidRDefault="00B047BA" w:rsidP="00B047BA">
      <w:pPr>
        <w:rPr>
          <w:rFonts w:ascii="Century Gothic" w:hAnsi="Century Gothic"/>
          <w:b/>
          <w:bCs/>
          <w:caps/>
        </w:rPr>
      </w:pPr>
      <w:r w:rsidRPr="00F43984">
        <w:rPr>
          <w:rFonts w:ascii="Century Gothic" w:hAnsi="Century Gothic"/>
          <w:b/>
          <w:bCs/>
        </w:rPr>
        <w:t xml:space="preserve">Projeto de Lei </w:t>
      </w:r>
      <w:r w:rsidR="00B37945">
        <w:rPr>
          <w:rFonts w:ascii="Century Gothic" w:hAnsi="Century Gothic"/>
          <w:b/>
          <w:bCs/>
        </w:rPr>
        <w:t xml:space="preserve">Complementar </w:t>
      </w:r>
      <w:r w:rsidRPr="00F43984">
        <w:rPr>
          <w:rFonts w:ascii="Century Gothic" w:hAnsi="Century Gothic"/>
          <w:b/>
          <w:bCs/>
        </w:rPr>
        <w:t>n</w:t>
      </w:r>
      <w:r w:rsidRPr="00F43984">
        <w:rPr>
          <w:rFonts w:ascii="Century Gothic" w:hAnsi="Century Gothic"/>
          <w:b/>
          <w:bCs/>
          <w:caps/>
        </w:rPr>
        <w:t>º 0</w:t>
      </w:r>
      <w:r w:rsidR="00B37945">
        <w:rPr>
          <w:rFonts w:ascii="Century Gothic" w:hAnsi="Century Gothic"/>
          <w:b/>
          <w:bCs/>
          <w:caps/>
        </w:rPr>
        <w:t>3</w:t>
      </w:r>
      <w:r w:rsidRPr="00F43984">
        <w:rPr>
          <w:rFonts w:ascii="Century Gothic" w:hAnsi="Century Gothic"/>
          <w:b/>
          <w:bCs/>
          <w:caps/>
        </w:rPr>
        <w:t>/201</w:t>
      </w:r>
      <w:r w:rsidR="006F4330" w:rsidRPr="00F43984">
        <w:rPr>
          <w:rFonts w:ascii="Century Gothic" w:hAnsi="Century Gothic"/>
          <w:b/>
          <w:bCs/>
          <w:caps/>
        </w:rPr>
        <w:t>7</w:t>
      </w:r>
      <w:r w:rsidR="00A856BE" w:rsidRPr="00F43984">
        <w:rPr>
          <w:rFonts w:ascii="Century Gothic" w:hAnsi="Century Gothic"/>
          <w:b/>
          <w:bCs/>
          <w:caps/>
        </w:rPr>
        <w:t>-</w:t>
      </w:r>
      <w:r w:rsidR="00B37945">
        <w:rPr>
          <w:rFonts w:ascii="Century Gothic" w:hAnsi="Century Gothic"/>
          <w:b/>
          <w:bCs/>
          <w:caps/>
        </w:rPr>
        <w:t>E</w:t>
      </w:r>
      <w:r w:rsidRPr="00F43984">
        <w:rPr>
          <w:rFonts w:ascii="Century Gothic" w:hAnsi="Century Gothic"/>
          <w:b/>
          <w:bCs/>
          <w:caps/>
        </w:rPr>
        <w:t xml:space="preserve">    </w:t>
      </w:r>
    </w:p>
    <w:p w:rsidR="00B047BA" w:rsidRPr="00F43984" w:rsidRDefault="00B047BA" w:rsidP="00B047BA">
      <w:pPr>
        <w:rPr>
          <w:rFonts w:ascii="Century Gothic" w:hAnsi="Century Gothic"/>
        </w:rPr>
      </w:pPr>
      <w:r w:rsidRPr="00F43984">
        <w:rPr>
          <w:rFonts w:ascii="Century Gothic" w:hAnsi="Century Gothic"/>
        </w:rPr>
        <w:t xml:space="preserve">Data: </w:t>
      </w:r>
      <w:r w:rsidR="003D60B4">
        <w:rPr>
          <w:rFonts w:ascii="Century Gothic" w:hAnsi="Century Gothic"/>
        </w:rPr>
        <w:t>22</w:t>
      </w:r>
      <w:bookmarkStart w:id="0" w:name="_GoBack"/>
      <w:bookmarkEnd w:id="0"/>
      <w:r w:rsidR="00A856BE" w:rsidRPr="00F43984">
        <w:rPr>
          <w:rFonts w:ascii="Century Gothic" w:hAnsi="Century Gothic"/>
        </w:rPr>
        <w:t xml:space="preserve"> de setembro </w:t>
      </w:r>
      <w:r w:rsidRPr="00F43984">
        <w:rPr>
          <w:rFonts w:ascii="Century Gothic" w:hAnsi="Century Gothic"/>
        </w:rPr>
        <w:t>de 201</w:t>
      </w:r>
      <w:r w:rsidR="00357D96" w:rsidRPr="00F43984">
        <w:rPr>
          <w:rFonts w:ascii="Century Gothic" w:hAnsi="Century Gothic"/>
        </w:rPr>
        <w:t>7</w:t>
      </w:r>
    </w:p>
    <w:p w:rsidR="00B047BA" w:rsidRPr="00F43984" w:rsidRDefault="00B047BA" w:rsidP="00B047BA">
      <w:pPr>
        <w:rPr>
          <w:rFonts w:ascii="Century Gothic" w:hAnsi="Century Gothic"/>
        </w:rPr>
      </w:pPr>
    </w:p>
    <w:p w:rsidR="00DF390F" w:rsidRPr="00F43984" w:rsidRDefault="00DF390F" w:rsidP="00B047BA">
      <w:pPr>
        <w:rPr>
          <w:rFonts w:ascii="Century Gothic" w:hAnsi="Century Gothic"/>
        </w:rPr>
      </w:pPr>
    </w:p>
    <w:p w:rsidR="00B047BA" w:rsidRPr="00F43984" w:rsidRDefault="00B047BA" w:rsidP="00B047BA">
      <w:pPr>
        <w:jc w:val="center"/>
        <w:rPr>
          <w:rFonts w:ascii="Century Gothic" w:hAnsi="Century Gothic"/>
        </w:rPr>
      </w:pPr>
      <w:r w:rsidRPr="00F43984">
        <w:rPr>
          <w:rFonts w:ascii="Century Gothic" w:hAnsi="Century Gothic"/>
          <w:b/>
          <w:bCs/>
        </w:rPr>
        <w:t>AUTÓGRAFO Nº 0</w:t>
      </w:r>
      <w:r w:rsidR="00A856BE" w:rsidRPr="00F43984">
        <w:rPr>
          <w:rFonts w:ascii="Century Gothic" w:hAnsi="Century Gothic"/>
          <w:b/>
          <w:bCs/>
        </w:rPr>
        <w:t>7</w:t>
      </w:r>
      <w:r w:rsidR="00B37945">
        <w:rPr>
          <w:rFonts w:ascii="Century Gothic" w:hAnsi="Century Gothic"/>
          <w:b/>
          <w:bCs/>
        </w:rPr>
        <w:t>2</w:t>
      </w:r>
      <w:r w:rsidRPr="00F43984">
        <w:rPr>
          <w:rFonts w:ascii="Century Gothic" w:hAnsi="Century Gothic"/>
          <w:b/>
          <w:bCs/>
        </w:rPr>
        <w:t>/201</w:t>
      </w:r>
      <w:r w:rsidR="00104869" w:rsidRPr="00F43984">
        <w:rPr>
          <w:rFonts w:ascii="Century Gothic" w:hAnsi="Century Gothic"/>
          <w:b/>
          <w:bCs/>
        </w:rPr>
        <w:t>7</w:t>
      </w:r>
      <w:r w:rsidRPr="00F43984">
        <w:rPr>
          <w:rFonts w:ascii="Century Gothic" w:hAnsi="Century Gothic"/>
          <w:b/>
          <w:bCs/>
        </w:rPr>
        <w:t xml:space="preserve"> </w:t>
      </w:r>
    </w:p>
    <w:p w:rsidR="00B047BA" w:rsidRPr="00F43984" w:rsidRDefault="00B047BA" w:rsidP="00B047BA">
      <w:pPr>
        <w:jc w:val="center"/>
        <w:rPr>
          <w:rFonts w:ascii="Century Gothic" w:hAnsi="Century Gothic"/>
        </w:rPr>
      </w:pPr>
    </w:p>
    <w:p w:rsidR="00B047BA" w:rsidRPr="00F43984" w:rsidRDefault="00B047BA" w:rsidP="00B047BA">
      <w:pPr>
        <w:rPr>
          <w:rFonts w:ascii="Century Gothic" w:hAnsi="Century Gothic"/>
        </w:rPr>
      </w:pPr>
    </w:p>
    <w:p w:rsidR="0015331A" w:rsidRPr="00F43984" w:rsidRDefault="00B047BA" w:rsidP="00B047BA">
      <w:pPr>
        <w:ind w:firstLine="1418"/>
        <w:jc w:val="both"/>
        <w:rPr>
          <w:rFonts w:ascii="Century Gothic" w:hAnsi="Century Gothic"/>
        </w:rPr>
      </w:pPr>
      <w:r w:rsidRPr="00F43984">
        <w:rPr>
          <w:rFonts w:ascii="Century Gothic" w:hAnsi="Century Gothic"/>
          <w:b/>
          <w:bCs/>
        </w:rPr>
        <w:t xml:space="preserve">A CÂMARA MUNICIPAL DE MARECHAL CÂNDIDO RONDON, </w:t>
      </w:r>
      <w:r w:rsidRPr="00F43984">
        <w:rPr>
          <w:rFonts w:ascii="Century Gothic" w:hAnsi="Century Gothic"/>
        </w:rPr>
        <w:t>Estado do Paraná, em sessões ordinária</w:t>
      </w:r>
      <w:r w:rsidR="00B37945">
        <w:rPr>
          <w:rFonts w:ascii="Century Gothic" w:hAnsi="Century Gothic"/>
        </w:rPr>
        <w:t xml:space="preserve"> e extraordinária</w:t>
      </w:r>
      <w:r w:rsidRPr="00F43984">
        <w:rPr>
          <w:rFonts w:ascii="Century Gothic" w:hAnsi="Century Gothic"/>
        </w:rPr>
        <w:t>, por unanimidade dos presentes, aprovou</w:t>
      </w:r>
    </w:p>
    <w:p w:rsidR="00B047BA" w:rsidRPr="00F43984" w:rsidRDefault="00B047BA" w:rsidP="00B047BA">
      <w:pPr>
        <w:ind w:firstLine="1418"/>
        <w:jc w:val="both"/>
        <w:rPr>
          <w:rFonts w:ascii="Century Gothic" w:hAnsi="Century Gothic"/>
        </w:rPr>
      </w:pPr>
      <w:r w:rsidRPr="00F43984">
        <w:rPr>
          <w:rFonts w:ascii="Century Gothic" w:hAnsi="Century Gothic"/>
        </w:rPr>
        <w:t xml:space="preserve"> </w:t>
      </w:r>
    </w:p>
    <w:p w:rsidR="009864C6" w:rsidRPr="00F43984" w:rsidRDefault="00B37945" w:rsidP="00B37945">
      <w:pPr>
        <w:pStyle w:val="Textoembloco1"/>
        <w:ind w:left="3969" w:right="-60"/>
        <w:rPr>
          <w:b w:val="0"/>
          <w:sz w:val="24"/>
        </w:rPr>
      </w:pPr>
      <w:r w:rsidRPr="00B37945">
        <w:rPr>
          <w:rFonts w:cs="Arial"/>
          <w:sz w:val="24"/>
        </w:rPr>
        <w:t>ALTERA OS DISPOSITIVOS PREVISTOS NA LEI</w:t>
      </w:r>
      <w:r>
        <w:rPr>
          <w:rFonts w:cs="Arial"/>
          <w:sz w:val="24"/>
        </w:rPr>
        <w:t xml:space="preserve"> </w:t>
      </w:r>
      <w:r w:rsidRPr="00B37945">
        <w:rPr>
          <w:rFonts w:cs="Arial"/>
          <w:sz w:val="24"/>
        </w:rPr>
        <w:t>COMPLEMENTAR 026/2002, QUE TRATAM</w:t>
      </w:r>
      <w:r>
        <w:rPr>
          <w:rFonts w:cs="Arial"/>
          <w:sz w:val="24"/>
        </w:rPr>
        <w:t xml:space="preserve"> </w:t>
      </w:r>
      <w:r w:rsidRPr="00B37945">
        <w:rPr>
          <w:rFonts w:cs="Arial"/>
          <w:sz w:val="24"/>
        </w:rPr>
        <w:t>SOBRE O REGIME DE ESTIMATIVA E BASE DE</w:t>
      </w:r>
      <w:r>
        <w:rPr>
          <w:rFonts w:cs="Arial"/>
          <w:sz w:val="24"/>
        </w:rPr>
        <w:t xml:space="preserve"> </w:t>
      </w:r>
      <w:r w:rsidRPr="00B37945">
        <w:rPr>
          <w:rFonts w:cs="Arial"/>
          <w:sz w:val="24"/>
        </w:rPr>
        <w:t>CÁLCULO DO IMPOSTO SOBRE SERVIÇOS DE</w:t>
      </w:r>
      <w:r>
        <w:rPr>
          <w:rFonts w:cs="Arial"/>
          <w:sz w:val="24"/>
        </w:rPr>
        <w:t xml:space="preserve"> </w:t>
      </w:r>
      <w:r w:rsidRPr="00B37945">
        <w:rPr>
          <w:rFonts w:cs="Arial"/>
          <w:sz w:val="24"/>
        </w:rPr>
        <w:t xml:space="preserve">QUALQUER NATUREZA – ISSQN </w:t>
      </w:r>
      <w:r>
        <w:rPr>
          <w:rFonts w:cs="Arial"/>
          <w:sz w:val="24"/>
        </w:rPr>
        <w:t>–</w:t>
      </w:r>
      <w:r w:rsidRPr="00B37945">
        <w:rPr>
          <w:rFonts w:cs="Arial"/>
          <w:sz w:val="24"/>
        </w:rPr>
        <w:t xml:space="preserve"> INCIDENTE</w:t>
      </w:r>
      <w:r>
        <w:rPr>
          <w:rFonts w:cs="Arial"/>
          <w:sz w:val="24"/>
        </w:rPr>
        <w:t xml:space="preserve"> </w:t>
      </w:r>
      <w:r w:rsidRPr="00B37945">
        <w:rPr>
          <w:rFonts w:cs="Arial"/>
          <w:sz w:val="24"/>
        </w:rPr>
        <w:t>SOBRE CONSTRUÇÃO CIVIL, E DÁ OUTRAS</w:t>
      </w:r>
      <w:r>
        <w:rPr>
          <w:rFonts w:cs="Arial"/>
          <w:sz w:val="24"/>
        </w:rPr>
        <w:t xml:space="preserve"> </w:t>
      </w:r>
      <w:r w:rsidRPr="00B37945">
        <w:rPr>
          <w:rFonts w:cs="Arial"/>
          <w:sz w:val="24"/>
        </w:rPr>
        <w:t>PROVIDÊNCIAS.</w:t>
      </w:r>
    </w:p>
    <w:p w:rsidR="009864C6" w:rsidRPr="00F43984" w:rsidRDefault="009864C6" w:rsidP="009864C6">
      <w:pPr>
        <w:pStyle w:val="Textoembloco1"/>
        <w:ind w:left="4860"/>
        <w:rPr>
          <w:b w:val="0"/>
          <w:sz w:val="24"/>
        </w:rPr>
      </w:pP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Art. 1º – Fica alterado o parágrafo único, do Art. 16, da Lei Complementar</w:t>
      </w:r>
      <w:r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Municipal nº 26/2002, que passa a vigorar com a seguinte redação: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“Art. 16 - (…)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Parágrafo único – O sujeito passivo da obrigação principal será considerado: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(…)”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Art. 2º – Ficam alterados o caput, os §§ 1º e 4º, e acrescidos os incisos I ao IV, do</w:t>
      </w:r>
      <w:r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Art. 203, da Lei Complementar Municipal nº 26/2002, passando a vigorar com a seguinte redação: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“Art. 203 – O Imposto Sobre Serviços de Qualquer Natureza deverá ser retido na fonte</w:t>
      </w:r>
      <w:r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e recolhido, pelo responsável tributário, tomador ou intermediário, sem prejuízo de</w:t>
      </w:r>
      <w:r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outras, nas seguintes hipóteses de incidência: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 - </w:t>
      </w:r>
      <w:proofErr w:type="gramStart"/>
      <w:r w:rsidRPr="00B37945">
        <w:rPr>
          <w:rFonts w:ascii="Century Gothic" w:hAnsi="Century Gothic" w:cs="Century Gothic"/>
        </w:rPr>
        <w:t>pessoa</w:t>
      </w:r>
      <w:proofErr w:type="gramEnd"/>
      <w:r w:rsidRPr="00B37945">
        <w:rPr>
          <w:rFonts w:ascii="Century Gothic" w:hAnsi="Century Gothic" w:cs="Century Gothic"/>
        </w:rPr>
        <w:t xml:space="preserve"> jurídica, ainda que imune ou isento, dos serviços descritos no art. 202, deste</w:t>
      </w:r>
      <w:r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Código;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II - </w:t>
      </w:r>
      <w:proofErr w:type="gramStart"/>
      <w:r w:rsidRPr="00B37945">
        <w:rPr>
          <w:rFonts w:ascii="Century Gothic" w:hAnsi="Century Gothic" w:cs="Century Gothic"/>
        </w:rPr>
        <w:t>no</w:t>
      </w:r>
      <w:proofErr w:type="gramEnd"/>
      <w:r w:rsidRPr="00B37945">
        <w:rPr>
          <w:rFonts w:ascii="Century Gothic" w:hAnsi="Century Gothic" w:cs="Century Gothic"/>
        </w:rPr>
        <w:t xml:space="preserve"> caso de o prestador do serviço não emitir ou recusar-se a emitir documento</w:t>
      </w:r>
      <w:r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fiscal;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III – órgãos públicos, autarquias, fundações, sociedades de economia mista e</w:t>
      </w:r>
      <w:r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empresas públicas;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IV – </w:t>
      </w:r>
      <w:proofErr w:type="gramStart"/>
      <w:r w:rsidRPr="00B37945">
        <w:rPr>
          <w:rFonts w:ascii="Century Gothic" w:hAnsi="Century Gothic" w:cs="Century Gothic"/>
        </w:rPr>
        <w:t>que</w:t>
      </w:r>
      <w:proofErr w:type="gramEnd"/>
      <w:r w:rsidRPr="00B37945">
        <w:rPr>
          <w:rFonts w:ascii="Century Gothic" w:hAnsi="Century Gothic" w:cs="Century Gothic"/>
        </w:rPr>
        <w:t xml:space="preserve"> contratar serviços de profissional autônomo ou </w:t>
      </w:r>
      <w:r w:rsidRPr="00B37945">
        <w:rPr>
          <w:rFonts w:ascii="Century Gothic" w:hAnsi="Century Gothic" w:cs="Century Gothic"/>
        </w:rPr>
        <w:lastRenderedPageBreak/>
        <w:t>empresa, sem inscrição no</w:t>
      </w:r>
      <w:r w:rsidR="004C1E5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cadastro econômico do Município, como contribuinte do ISSQN;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V – </w:t>
      </w:r>
      <w:proofErr w:type="gramStart"/>
      <w:r w:rsidRPr="00B37945">
        <w:rPr>
          <w:rFonts w:ascii="Century Gothic" w:hAnsi="Century Gothic" w:cs="Century Gothic"/>
        </w:rPr>
        <w:t>hospitais e prontos-socorros</w:t>
      </w:r>
      <w:proofErr w:type="gramEnd"/>
      <w:r w:rsidRPr="00B37945">
        <w:rPr>
          <w:rFonts w:ascii="Century Gothic" w:hAnsi="Century Gothic" w:cs="Century Gothic"/>
        </w:rPr>
        <w:t>.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§ 1° – A retenção corresponderá ao valor do imposto devido, seguindo as tabelas</w:t>
      </w:r>
      <w:r w:rsidR="004C1E5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anexas deste Código, e deverá ocorrer no ato do pagamento da prestação do serviço,</w:t>
      </w:r>
      <w:r w:rsidR="004C1E5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com seu recolhimento regular, integral e de seus acessórios legais, no prazo</w:t>
      </w:r>
      <w:r w:rsidR="004C1E5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 xml:space="preserve">estipulado, </w:t>
      </w:r>
      <w:proofErr w:type="spellStart"/>
      <w:r w:rsidRPr="00B37945">
        <w:rPr>
          <w:rFonts w:ascii="Century Gothic" w:hAnsi="Century Gothic" w:cs="Century Gothic"/>
        </w:rPr>
        <w:t>independente</w:t>
      </w:r>
      <w:proofErr w:type="spellEnd"/>
      <w:r w:rsidRPr="00B37945">
        <w:rPr>
          <w:rFonts w:ascii="Century Gothic" w:hAnsi="Century Gothic" w:cs="Century Gothic"/>
        </w:rPr>
        <w:t xml:space="preserve"> de sua retenção na fonte.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(...)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§ 4º – Os contribuintes do ISSQN registrarão, no livro de registro de notas fiscais de</w:t>
      </w:r>
      <w:r w:rsidR="004C1E5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serviços prestados, ou nos demais controles de pagamento, os valores que lhe foram</w:t>
      </w:r>
      <w:r w:rsidR="004C1E5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retidos na fonte pagadora, tendo por documento hábil, o recibo a que se refere o</w:t>
      </w:r>
      <w:r w:rsidR="004C1E5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parágrafo anterior”</w:t>
      </w:r>
      <w:r w:rsidR="004C1E57">
        <w:rPr>
          <w:rFonts w:ascii="Century Gothic" w:hAnsi="Century Gothic" w:cs="Century Gothic"/>
        </w:rPr>
        <w:t>.</w:t>
      </w:r>
    </w:p>
    <w:p w:rsidR="008637C3" w:rsidRDefault="008637C3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Art. 3º – Fica acrescido o Art. 203-A, à Lei Complementar Municipal nº 26/2002,</w:t>
      </w:r>
      <w:r w:rsidR="004C1E5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passando a vigorar com a seguinte redação: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“Art. 203-A - São responsáveis, na qualidade de substitutos tributários: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 – </w:t>
      </w:r>
      <w:proofErr w:type="gramStart"/>
      <w:r w:rsidRPr="00B37945">
        <w:rPr>
          <w:rFonts w:ascii="Century Gothic" w:hAnsi="Century Gothic" w:cs="Century Gothic"/>
        </w:rPr>
        <w:t>estabelecimentos</w:t>
      </w:r>
      <w:proofErr w:type="gramEnd"/>
      <w:r w:rsidRPr="00B37945">
        <w:rPr>
          <w:rFonts w:ascii="Century Gothic" w:hAnsi="Century Gothic" w:cs="Century Gothic"/>
        </w:rPr>
        <w:t xml:space="preserve"> bancários públicos ou privados;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II – </w:t>
      </w:r>
      <w:proofErr w:type="gramStart"/>
      <w:r w:rsidRPr="00B37945">
        <w:rPr>
          <w:rFonts w:ascii="Century Gothic" w:hAnsi="Century Gothic" w:cs="Century Gothic"/>
        </w:rPr>
        <w:t>cooperativas</w:t>
      </w:r>
      <w:proofErr w:type="gramEnd"/>
      <w:r w:rsidRPr="00B37945">
        <w:rPr>
          <w:rFonts w:ascii="Century Gothic" w:hAnsi="Century Gothic" w:cs="Century Gothic"/>
        </w:rPr>
        <w:t xml:space="preserve"> em geral;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III – construtoras, incorporadoras e condomínios, nos termos da Lei nº 4.591, de 1964;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IV – </w:t>
      </w:r>
      <w:proofErr w:type="gramStart"/>
      <w:r w:rsidRPr="00B37945">
        <w:rPr>
          <w:rFonts w:ascii="Century Gothic" w:hAnsi="Century Gothic" w:cs="Century Gothic"/>
        </w:rPr>
        <w:t>o</w:t>
      </w:r>
      <w:proofErr w:type="gramEnd"/>
      <w:r w:rsidRPr="00B37945">
        <w:rPr>
          <w:rFonts w:ascii="Century Gothic" w:hAnsi="Century Gothic" w:cs="Century Gothic"/>
        </w:rPr>
        <w:t xml:space="preserve"> tomador do serviço, enquanto proprietário do imóvel, da obra, titular da posse ou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domínio útil onde se realiza a edificação, eleito pelo fisco, na hipótese de ISSQN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ESTIMADO;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V – </w:t>
      </w:r>
      <w:proofErr w:type="gramStart"/>
      <w:r w:rsidRPr="00B37945">
        <w:rPr>
          <w:rFonts w:ascii="Century Gothic" w:hAnsi="Century Gothic" w:cs="Century Gothic"/>
        </w:rPr>
        <w:t>empresas</w:t>
      </w:r>
      <w:proofErr w:type="gramEnd"/>
      <w:r w:rsidRPr="00B37945">
        <w:rPr>
          <w:rFonts w:ascii="Century Gothic" w:hAnsi="Century Gothic" w:cs="Century Gothic"/>
        </w:rPr>
        <w:t xml:space="preserve"> de planos de saúde ou de assistência médica, de seguros, através de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planos de medicina de grupo ou convênios e de serviços funerários;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VI - </w:t>
      </w:r>
      <w:proofErr w:type="gramStart"/>
      <w:r w:rsidRPr="00B37945">
        <w:rPr>
          <w:rFonts w:ascii="Century Gothic" w:hAnsi="Century Gothic" w:cs="Century Gothic"/>
        </w:rPr>
        <w:t>o</w:t>
      </w:r>
      <w:proofErr w:type="gramEnd"/>
      <w:r w:rsidRPr="00B37945">
        <w:rPr>
          <w:rFonts w:ascii="Century Gothic" w:hAnsi="Century Gothic" w:cs="Century Gothic"/>
        </w:rPr>
        <w:t xml:space="preserve"> promotor ou o responsável do evento, o proprietário do estabelecimento, o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locatário ou cessionário do espaço, em relação ao imposto devido pelo prestador, nos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casos de bailes, shows, festivais, recitais, e congêneres, respeitadas as situações de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retenção do art. 203, inciso III, deste Código;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VII – contribuintes que adotam o regime tributário do Lucro Real.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§ 1º – Independente da retenção na fonte, os substitutos são obrigados ao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recolhimento integral do imposto devido, de eventual multa e de outros acréscimos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legais, quando for o caso.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lastRenderedPageBreak/>
        <w:t>§ 2º – O pagamento do imposto não exclui a responsabilidade por infração do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contribuinte originário, nos te</w:t>
      </w:r>
      <w:r w:rsidR="00B076AF">
        <w:rPr>
          <w:rFonts w:ascii="Century Gothic" w:hAnsi="Century Gothic" w:cs="Century Gothic"/>
        </w:rPr>
        <w:t>rmos da lei</w:t>
      </w:r>
      <w:r w:rsidRPr="00B37945">
        <w:rPr>
          <w:rFonts w:ascii="Century Gothic" w:hAnsi="Century Gothic" w:cs="Century Gothic"/>
        </w:rPr>
        <w:t>”</w:t>
      </w:r>
      <w:r w:rsidR="00B076AF">
        <w:rPr>
          <w:rFonts w:ascii="Century Gothic" w:hAnsi="Century Gothic" w:cs="Century Gothic"/>
        </w:rPr>
        <w:t>.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Art. 4° - O § 8°, do Art. 209, da Lei Complementar Municipal nº 026/2002, passa a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vigorar com a seguinte redação: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“Art. 209 – (...)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(...)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§ 8° - Também constituem exceção os serviços descritos nos subitens 7.02 e 7.05 para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os quais, em se tratando de obras de construção civil, de saneamento básico e de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infraestrutura urbana e recuperação de estradas, deduzir-se-á da base de cálculo um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percentual de 50% (cinquenta por cento), referente ao valor dos materiais fornecidos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pelo prestador dos serviços”</w:t>
      </w:r>
      <w:r w:rsidR="00D273C5">
        <w:rPr>
          <w:rFonts w:ascii="Century Gothic" w:hAnsi="Century Gothic" w:cs="Century Gothic"/>
        </w:rPr>
        <w:t>.</w:t>
      </w:r>
    </w:p>
    <w:p w:rsidR="00D273C5" w:rsidRDefault="00D273C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Art. 5° - Fica alterada a redação ao Art. 211, da Lei Complementar Municipal nº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026/2002, passando a vigorar com a seguinte redação: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“Art. 211 – (...)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 – REVOGADO;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II – REVOGADO: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III – REVOGADO;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IV – REVOGADO;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(...)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§ 1° - Na prestação dos serviços de construção civil, será adotada a seguinte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metodologia de cálculo: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 – </w:t>
      </w:r>
      <w:proofErr w:type="gramStart"/>
      <w:r w:rsidRPr="00B37945">
        <w:rPr>
          <w:rFonts w:ascii="Century Gothic" w:hAnsi="Century Gothic" w:cs="Century Gothic"/>
        </w:rPr>
        <w:t>na</w:t>
      </w:r>
      <w:proofErr w:type="gramEnd"/>
      <w:r w:rsidRPr="00B37945">
        <w:rPr>
          <w:rFonts w:ascii="Century Gothic" w:hAnsi="Century Gothic" w:cs="Century Gothic"/>
        </w:rPr>
        <w:t xml:space="preserve"> hipótese de lançamento por homologação, o imposto será calculado sobre o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preço dos serviços, admitindo-se a dedução referente aos materiais aplicados na obra,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em observância ao art. 209 deste código;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II - </w:t>
      </w:r>
      <w:proofErr w:type="gramStart"/>
      <w:r w:rsidRPr="00B37945">
        <w:rPr>
          <w:rFonts w:ascii="Century Gothic" w:hAnsi="Century Gothic" w:cs="Century Gothic"/>
        </w:rPr>
        <w:t>quando</w:t>
      </w:r>
      <w:proofErr w:type="gramEnd"/>
      <w:r w:rsidRPr="00B37945">
        <w:rPr>
          <w:rFonts w:ascii="Century Gothic" w:hAnsi="Century Gothic" w:cs="Century Gothic"/>
        </w:rPr>
        <w:t xml:space="preserve"> se tratar de lançamento por estimativa, o imposto será calculado pelo valor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do custo unitário básico da construção (CUB/m²), divulgado pelo Sindicato da Indústria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da Construção Civil – SINDUSCON-OESTE/PR, e, na sua ausência, outro parâmetro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similar, em observância ao art. 222, §2° deste código, sendo sua aplicação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regulamentada por decreto;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III – quando os serviços forem contratados por administração, a base de cálculo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compreende os honorários, os dispêndios com mão-</w:t>
      </w:r>
      <w:r w:rsidRPr="00B37945">
        <w:rPr>
          <w:rFonts w:ascii="Century Gothic" w:hAnsi="Century Gothic" w:cs="Century Gothic"/>
        </w:rPr>
        <w:lastRenderedPageBreak/>
        <w:t>de-obra e encargos sociais, as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despesas gerais de administração e outras, realizadas direta ou indiretamente pelo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prestador</w:t>
      </w:r>
      <w:r w:rsidR="00B076AF">
        <w:rPr>
          <w:rFonts w:ascii="Century Gothic" w:hAnsi="Century Gothic" w:cs="Century Gothic"/>
        </w:rPr>
        <w:t>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IV - </w:t>
      </w:r>
      <w:proofErr w:type="gramStart"/>
      <w:r w:rsidRPr="00B37945">
        <w:rPr>
          <w:rFonts w:ascii="Century Gothic" w:hAnsi="Century Gothic" w:cs="Century Gothic"/>
        </w:rPr>
        <w:t>nas</w:t>
      </w:r>
      <w:proofErr w:type="gramEnd"/>
      <w:r w:rsidRPr="00B37945">
        <w:rPr>
          <w:rFonts w:ascii="Century Gothic" w:hAnsi="Century Gothic" w:cs="Century Gothic"/>
        </w:rPr>
        <w:t xml:space="preserve"> incorporações imobiliárias, ocorrendo a existência de unidades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compromissadas antes do “habite-se”, a base de cálculo será o preço destas cotas de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 xml:space="preserve">construção, deduzido, proporcionalmente o valor das </w:t>
      </w:r>
      <w:proofErr w:type="spellStart"/>
      <w:r w:rsidRPr="00B37945">
        <w:rPr>
          <w:rFonts w:ascii="Century Gothic" w:hAnsi="Century Gothic" w:cs="Century Gothic"/>
        </w:rPr>
        <w:t>subempreitadas</w:t>
      </w:r>
      <w:proofErr w:type="spellEnd"/>
      <w:r w:rsidRPr="00B37945">
        <w:rPr>
          <w:rFonts w:ascii="Century Gothic" w:hAnsi="Century Gothic" w:cs="Century Gothic"/>
        </w:rPr>
        <w:t xml:space="preserve"> já tributadas pelo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imposto</w:t>
      </w:r>
      <w:r w:rsidR="00B076AF">
        <w:rPr>
          <w:rFonts w:ascii="Century Gothic" w:hAnsi="Century Gothic" w:cs="Century Gothic"/>
        </w:rPr>
        <w:t>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V – </w:t>
      </w:r>
      <w:proofErr w:type="gramStart"/>
      <w:r w:rsidRPr="00B37945">
        <w:rPr>
          <w:rFonts w:ascii="Century Gothic" w:hAnsi="Century Gothic" w:cs="Century Gothic"/>
        </w:rPr>
        <w:t>nas</w:t>
      </w:r>
      <w:proofErr w:type="gramEnd"/>
      <w:r w:rsidRPr="00B37945">
        <w:rPr>
          <w:rFonts w:ascii="Century Gothic" w:hAnsi="Century Gothic" w:cs="Century Gothic"/>
        </w:rPr>
        <w:t xml:space="preserve"> demolições, inclui-se nos preços dos serviços o montante dos recebimentos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em dinheiro ou em materiais provenientes do desmonte;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VI – </w:t>
      </w:r>
      <w:proofErr w:type="gramStart"/>
      <w:r w:rsidRPr="00B37945">
        <w:rPr>
          <w:rFonts w:ascii="Century Gothic" w:hAnsi="Century Gothic" w:cs="Century Gothic"/>
        </w:rPr>
        <w:t>na</w:t>
      </w:r>
      <w:proofErr w:type="gramEnd"/>
      <w:r w:rsidRPr="00B37945">
        <w:rPr>
          <w:rFonts w:ascii="Century Gothic" w:hAnsi="Century Gothic" w:cs="Century Gothic"/>
        </w:rPr>
        <w:t xml:space="preserve"> hipótese de demolição apurada por estimativa ou estimada, adotar-se-á a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fórmula: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ISSQN A PAGAR = Área Total </w:t>
      </w:r>
      <w:proofErr w:type="gramStart"/>
      <w:r w:rsidRPr="00B37945">
        <w:rPr>
          <w:rFonts w:ascii="Century Gothic" w:hAnsi="Century Gothic" w:cs="Century Gothic"/>
        </w:rPr>
        <w:t>x</w:t>
      </w:r>
      <w:proofErr w:type="gramEnd"/>
      <w:r w:rsidRPr="00B37945">
        <w:rPr>
          <w:rFonts w:ascii="Century Gothic" w:hAnsi="Century Gothic" w:cs="Century Gothic"/>
        </w:rPr>
        <w:t xml:space="preserve"> Fator Multiplicador x Valor de Referência (VR) x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Alíquota, onde: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a) Área Total: compreende a metragem construída;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b) Fator Multiplicador: é determinado pelo tipo de construção, conforme Tabela X;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c) Valor de Referência: é o parâmetro ou elemento indicativo de cálculo de tributo, nos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termos do art. 133 e seguintes deste Código;</w:t>
      </w:r>
    </w:p>
    <w:p w:rsidR="00B076AF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d) Alíquota: conforme Tabela I, deste Código</w:t>
      </w:r>
      <w:r w:rsidR="00B076AF">
        <w:rPr>
          <w:rFonts w:ascii="Century Gothic" w:hAnsi="Century Gothic" w:cs="Century Gothic"/>
        </w:rPr>
        <w:t xml:space="preserve">. 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§ 2° - Para apuração do valor do ISSQN estimado, na hipótese do inciso II, do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parágrafo anterior, será adotada a seguinte fórmula: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ISSQN A PAGAR = Área Total </w:t>
      </w:r>
      <w:proofErr w:type="gramStart"/>
      <w:r w:rsidRPr="00B37945">
        <w:rPr>
          <w:rFonts w:ascii="Century Gothic" w:hAnsi="Century Gothic" w:cs="Century Gothic"/>
        </w:rPr>
        <w:t>x</w:t>
      </w:r>
      <w:proofErr w:type="gramEnd"/>
      <w:r w:rsidRPr="00B37945">
        <w:rPr>
          <w:rFonts w:ascii="Century Gothic" w:hAnsi="Century Gothic" w:cs="Century Gothic"/>
        </w:rPr>
        <w:t xml:space="preserve"> Fator Multiplicador x Valor CUB/m² x Fator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Redutor x B.C. Deduzida x Alíquota, onde: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 – Área Total: compreende a metragem apresentada no projeto;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II – Fator Multiplicador: é determinado pelo tipo de construção, conforme Tabela X;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III – Valor do CUB/m²: é a média anual do custo por metro quadrado da construção do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projeto-padrão considerado, conforme decreto regulamentador;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IV – Fator Redutor: o índice aplicado é 0,80 (zero vírgula oitenta);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IV – B.C. Deduzida: representa a mão-de-obra aplicada na construção civil,</w:t>
      </w:r>
      <w:r w:rsidR="00B076AF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descontando-se o material empregado, conforme art. 209, §8° deste Código;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lastRenderedPageBreak/>
        <w:t>V – Alíquota: conforme Tabela I, deste Código.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§ 3° - O valor CUB/m², para fins desta norma, será apurado em dezembro de cada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ano, tomando-se por base a média dos índices dos últimos 12 (doze) meses, para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vigorar no exercício seguinte.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§ 4° - Na ausência de dispositivo que regulamente o parágrafo anterior, aplicar-se-á,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sobre o valor base do ano anterior, o índice de correção monetária, previsto no art. 134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deste Código.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§ 5° - Consideram-se no item 1.1, da Tabela X, deste Código, as residências de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interesse social, enquadradas nos seguintes termos: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 – </w:t>
      </w:r>
      <w:proofErr w:type="gramStart"/>
      <w:r w:rsidRPr="00B37945">
        <w:rPr>
          <w:rFonts w:ascii="Century Gothic" w:hAnsi="Century Gothic" w:cs="Century Gothic"/>
        </w:rPr>
        <w:t>área</w:t>
      </w:r>
      <w:proofErr w:type="gramEnd"/>
      <w:r w:rsidRPr="00B37945">
        <w:rPr>
          <w:rFonts w:ascii="Century Gothic" w:hAnsi="Century Gothic" w:cs="Century Gothic"/>
        </w:rPr>
        <w:t xml:space="preserve"> construída igual ou inferior a 70m²;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II – </w:t>
      </w:r>
      <w:proofErr w:type="gramStart"/>
      <w:r w:rsidRPr="00B37945">
        <w:rPr>
          <w:rFonts w:ascii="Century Gothic" w:hAnsi="Century Gothic" w:cs="Century Gothic"/>
        </w:rPr>
        <w:t>renda</w:t>
      </w:r>
      <w:proofErr w:type="gramEnd"/>
      <w:r w:rsidRPr="00B37945">
        <w:rPr>
          <w:rFonts w:ascii="Century Gothic" w:hAnsi="Century Gothic" w:cs="Century Gothic"/>
        </w:rPr>
        <w:t xml:space="preserve"> familiar de até 3 (três) salários mínimos nacional;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III – a construção se destine a moradia própria;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IV – </w:t>
      </w:r>
      <w:proofErr w:type="gramStart"/>
      <w:r w:rsidRPr="00B37945">
        <w:rPr>
          <w:rFonts w:ascii="Century Gothic" w:hAnsi="Century Gothic" w:cs="Century Gothic"/>
        </w:rPr>
        <w:t>ter</w:t>
      </w:r>
      <w:proofErr w:type="gramEnd"/>
      <w:r w:rsidRPr="00B37945">
        <w:rPr>
          <w:rFonts w:ascii="Century Gothic" w:hAnsi="Century Gothic" w:cs="Century Gothic"/>
        </w:rPr>
        <w:t xml:space="preserve"> em seu nome somente o imóvel em que será realizada a obra;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V – </w:t>
      </w:r>
      <w:proofErr w:type="gramStart"/>
      <w:r w:rsidRPr="00B37945">
        <w:rPr>
          <w:rFonts w:ascii="Century Gothic" w:hAnsi="Century Gothic" w:cs="Century Gothic"/>
        </w:rPr>
        <w:t>não</w:t>
      </w:r>
      <w:proofErr w:type="gramEnd"/>
      <w:r w:rsidRPr="00B37945">
        <w:rPr>
          <w:rFonts w:ascii="Century Gothic" w:hAnsi="Century Gothic" w:cs="Century Gothic"/>
        </w:rPr>
        <w:t xml:space="preserve"> ter recebido este benefício nos últimos 5 (cinco) anos</w:t>
      </w:r>
      <w:r w:rsidR="00E91935">
        <w:rPr>
          <w:rFonts w:ascii="Century Gothic" w:hAnsi="Century Gothic" w:cs="Century Gothic"/>
        </w:rPr>
        <w:t>”</w:t>
      </w:r>
      <w:r w:rsidR="009A01E3">
        <w:rPr>
          <w:rFonts w:ascii="Century Gothic" w:hAnsi="Century Gothic" w:cs="Century Gothic"/>
        </w:rPr>
        <w:t>.</w:t>
      </w:r>
    </w:p>
    <w:p w:rsidR="009A01E3" w:rsidRDefault="009A01E3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Art. 6º – O Art. 222, da Lei Complementar Municipal nº 026/2002, passa a vigorar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com a seguinte redação: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“Art. 222 – A autoridade administrativa competente poderá fixar o valor do imposto por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estimativa nos seguintes casos: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 – </w:t>
      </w:r>
      <w:proofErr w:type="gramStart"/>
      <w:r w:rsidRPr="00B37945">
        <w:rPr>
          <w:rFonts w:ascii="Century Gothic" w:hAnsi="Century Gothic" w:cs="Century Gothic"/>
        </w:rPr>
        <w:t>atividade</w:t>
      </w:r>
      <w:proofErr w:type="gramEnd"/>
      <w:r w:rsidRPr="00B37945">
        <w:rPr>
          <w:rFonts w:ascii="Century Gothic" w:hAnsi="Century Gothic" w:cs="Century Gothic"/>
        </w:rPr>
        <w:t xml:space="preserve"> exercida em caráter provisório;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II – </w:t>
      </w:r>
      <w:proofErr w:type="gramStart"/>
      <w:r w:rsidRPr="00B37945">
        <w:rPr>
          <w:rFonts w:ascii="Century Gothic" w:hAnsi="Century Gothic" w:cs="Century Gothic"/>
        </w:rPr>
        <w:t>pessoa</w:t>
      </w:r>
      <w:proofErr w:type="gramEnd"/>
      <w:r w:rsidRPr="00B37945">
        <w:rPr>
          <w:rFonts w:ascii="Century Gothic" w:hAnsi="Century Gothic" w:cs="Century Gothic"/>
        </w:rPr>
        <w:t xml:space="preserve"> física não enquadrada no regime de ISSQN fixo;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III – o contribuinte que não tiver condições de emitir documentos fiscais;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IV – </w:t>
      </w:r>
      <w:proofErr w:type="gramStart"/>
      <w:r w:rsidRPr="00B37945">
        <w:rPr>
          <w:rFonts w:ascii="Century Gothic" w:hAnsi="Century Gothic" w:cs="Century Gothic"/>
        </w:rPr>
        <w:t>o</w:t>
      </w:r>
      <w:proofErr w:type="gramEnd"/>
      <w:r w:rsidRPr="00B37945">
        <w:rPr>
          <w:rFonts w:ascii="Century Gothic" w:hAnsi="Century Gothic" w:cs="Century Gothic"/>
        </w:rPr>
        <w:t xml:space="preserve"> contribuinte que, reiteradamente, incorrer em descumprimento de obrigação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acessória;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V – </w:t>
      </w:r>
      <w:proofErr w:type="gramStart"/>
      <w:r w:rsidRPr="00B37945">
        <w:rPr>
          <w:rFonts w:ascii="Century Gothic" w:hAnsi="Century Gothic" w:cs="Century Gothic"/>
        </w:rPr>
        <w:t>contribuinte</w:t>
      </w:r>
      <w:proofErr w:type="gramEnd"/>
      <w:r w:rsidRPr="00B37945">
        <w:rPr>
          <w:rFonts w:ascii="Century Gothic" w:hAnsi="Century Gothic" w:cs="Century Gothic"/>
        </w:rPr>
        <w:t xml:space="preserve"> de rudimentar organização;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VI – </w:t>
      </w:r>
      <w:proofErr w:type="gramStart"/>
      <w:r w:rsidRPr="00B37945">
        <w:rPr>
          <w:rFonts w:ascii="Century Gothic" w:hAnsi="Century Gothic" w:cs="Century Gothic"/>
        </w:rPr>
        <w:t>o</w:t>
      </w:r>
      <w:proofErr w:type="gramEnd"/>
      <w:r w:rsidRPr="00B37945">
        <w:rPr>
          <w:rFonts w:ascii="Century Gothic" w:hAnsi="Century Gothic" w:cs="Century Gothic"/>
        </w:rPr>
        <w:t xml:space="preserve"> contribuinte que obter licença eventual;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VII – quando se tratar de contribuinte cuja espécie, modalidade, volume de negócio ou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de atividade indique, a exclusivo critério da autoridade competente, tratamento fiscal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específico.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§ 1° – Consideram-se de caráter provisório as atividades cujo exercício seja de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natureza temporária e estejam vinculadas a fatores ou acontecimentos ocasionais ou</w:t>
      </w:r>
      <w:r w:rsidR="00825297">
        <w:rPr>
          <w:rFonts w:ascii="Century Gothic" w:hAnsi="Century Gothic" w:cs="Century Gothic"/>
        </w:rPr>
        <w:t xml:space="preserve"> </w:t>
      </w:r>
      <w:r w:rsidR="00E91935">
        <w:rPr>
          <w:rFonts w:ascii="Century Gothic" w:hAnsi="Century Gothic" w:cs="Century Gothic"/>
        </w:rPr>
        <w:t>excepcionais.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§ 2° – Para a fixação da base de cálculo estimada, a </w:t>
      </w:r>
      <w:r w:rsidRPr="00B37945">
        <w:rPr>
          <w:rFonts w:ascii="Century Gothic" w:hAnsi="Century Gothic" w:cs="Century Gothic"/>
        </w:rPr>
        <w:lastRenderedPageBreak/>
        <w:t>autoridade competente levará em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consideração, um ou mais dos seguintes elementos: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 – </w:t>
      </w:r>
      <w:proofErr w:type="gramStart"/>
      <w:r w:rsidRPr="00B37945">
        <w:rPr>
          <w:rFonts w:ascii="Century Gothic" w:hAnsi="Century Gothic" w:cs="Century Gothic"/>
        </w:rPr>
        <w:t>o</w:t>
      </w:r>
      <w:proofErr w:type="gramEnd"/>
      <w:r w:rsidRPr="00B37945">
        <w:rPr>
          <w:rFonts w:ascii="Century Gothic" w:hAnsi="Century Gothic" w:cs="Century Gothic"/>
        </w:rPr>
        <w:t xml:space="preserve"> valor da despesa geral do contribuinte durante o período considerado para o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cálculo da estimativa;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II – </w:t>
      </w:r>
      <w:proofErr w:type="gramStart"/>
      <w:r w:rsidRPr="00B37945">
        <w:rPr>
          <w:rFonts w:ascii="Century Gothic" w:hAnsi="Century Gothic" w:cs="Century Gothic"/>
        </w:rPr>
        <w:t>o</w:t>
      </w:r>
      <w:proofErr w:type="gramEnd"/>
      <w:r w:rsidRPr="00B37945">
        <w:rPr>
          <w:rFonts w:ascii="Century Gothic" w:hAnsi="Century Gothic" w:cs="Century Gothic"/>
        </w:rPr>
        <w:t xml:space="preserve"> preço corrente dos serviços;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III – as receitas em períodos anteriores e sua projeção para os períodos seguintes;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IV – </w:t>
      </w:r>
      <w:proofErr w:type="gramStart"/>
      <w:r w:rsidRPr="00B37945">
        <w:rPr>
          <w:rFonts w:ascii="Century Gothic" w:hAnsi="Century Gothic" w:cs="Century Gothic"/>
        </w:rPr>
        <w:t>outros</w:t>
      </w:r>
      <w:proofErr w:type="gramEnd"/>
      <w:r w:rsidRPr="00B37945">
        <w:rPr>
          <w:rFonts w:ascii="Century Gothic" w:hAnsi="Century Gothic" w:cs="Century Gothic"/>
        </w:rPr>
        <w:t xml:space="preserve"> contribuintes da mesma atividade e porte econômico;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V – </w:t>
      </w:r>
      <w:proofErr w:type="gramStart"/>
      <w:r w:rsidRPr="00B37945">
        <w:rPr>
          <w:rFonts w:ascii="Century Gothic" w:hAnsi="Century Gothic" w:cs="Century Gothic"/>
        </w:rPr>
        <w:t>estudos</w:t>
      </w:r>
      <w:proofErr w:type="gramEnd"/>
      <w:r w:rsidRPr="00B37945">
        <w:rPr>
          <w:rFonts w:ascii="Century Gothic" w:hAnsi="Century Gothic" w:cs="Century Gothic"/>
        </w:rPr>
        <w:t xml:space="preserve"> de órgãos públicos e entidades de classe diretamente vinculadas à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atividade;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VI – </w:t>
      </w:r>
      <w:proofErr w:type="gramStart"/>
      <w:r w:rsidRPr="00B37945">
        <w:rPr>
          <w:rFonts w:ascii="Century Gothic" w:hAnsi="Century Gothic" w:cs="Century Gothic"/>
        </w:rPr>
        <w:t>as</w:t>
      </w:r>
      <w:proofErr w:type="gramEnd"/>
      <w:r w:rsidRPr="00B37945">
        <w:rPr>
          <w:rFonts w:ascii="Century Gothic" w:hAnsi="Century Gothic" w:cs="Century Gothic"/>
        </w:rPr>
        <w:t xml:space="preserve"> informações prestadas pelo próprio contribuinte.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§ 3° – A administração poderá rever os valores estimados, a qualquer tempo,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procedendo pertinentes ajuste no valor global lançado, aplicando, quando cabível,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oportuno reajuste no valor das parcelas vincendas do imposto, em se apurando que a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estimativa inicial fora incorreta, bem como quando o volume ou a modalidade dos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serviços se alterar de forma substancial.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§ 4° - O regime de estimativa poderá ser afastado pela autoridade administrativa, a seu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crivo, quando não mais prevalecerem as condições que originaram o enquadramento.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§ 5° - O contribuinte abrangido pelo regime de estimativa pode, no prazo de 20 (vinte)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dias, a contar da ciência, formalizar impugnação ao valor estimado, apresentando os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documentos pertinentes, sem que isto implique em mudança do regime, ressalvado a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situação do parágrafo acima.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§ 6° - O ISSQN estimado, tratado pelo Art. 211, Parágrafo 1°, Inciso II, será pago à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vista ou em parcelas, se atendidos os seguintes requisitos: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 – O valor da primeira parcela corresponderá a, no mínimo, 30% (trinta por cento) do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ISSQN devido;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II – O valor mínimo de cada parcela remanescente será de 1 (um) VR (Valor de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Referência);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III - O limite máximo será de 12 (doze) parcelas mensais e consecutivas;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IV – </w:t>
      </w:r>
      <w:proofErr w:type="gramStart"/>
      <w:r w:rsidRPr="00B37945">
        <w:rPr>
          <w:rFonts w:ascii="Century Gothic" w:hAnsi="Century Gothic" w:cs="Century Gothic"/>
        </w:rPr>
        <w:t>a</w:t>
      </w:r>
      <w:proofErr w:type="gramEnd"/>
      <w:r w:rsidRPr="00B37945">
        <w:rPr>
          <w:rFonts w:ascii="Century Gothic" w:hAnsi="Century Gothic" w:cs="Century Gothic"/>
        </w:rPr>
        <w:t xml:space="preserve"> expedição do Alvará de Habite-se total ou parcial implicará no vencimento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antecipado de eventuais parcelas vincendas, restando condicionada à quitação integral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do débito;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lastRenderedPageBreak/>
        <w:t>§ 7° - A aplicação do regime de estimativa não exime o contribuinte do cumprimento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das obrigações acessórias.</w:t>
      </w:r>
    </w:p>
    <w:p w:rsidR="00825297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§ 8°- Verificada qualquer diferença entre o montante do imposto estimado e o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 xml:space="preserve">efetivamente devido, o contribuinte deverá proceder o recolhimento no prazo regular. 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§ 9° - REVOGADO.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 xml:space="preserve">§ 10 - </w:t>
      </w:r>
      <w:proofErr w:type="gramStart"/>
      <w:r w:rsidRPr="00B37945">
        <w:rPr>
          <w:rFonts w:ascii="Century Gothic" w:hAnsi="Century Gothic" w:cs="Century Gothic"/>
        </w:rPr>
        <w:t>REVOGADO.”</w:t>
      </w:r>
      <w:proofErr w:type="gramEnd"/>
    </w:p>
    <w:p w:rsidR="00825297" w:rsidRDefault="00825297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Art. 7° - Fica criada a Tabela X, que trata sobre o Fator Multiplicador, conforme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anexo, que substituirá a Tabela III, item 13, ao seu tempo.</w:t>
      </w:r>
    </w:p>
    <w:p w:rsidR="00B37945" w:rsidRP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Art. 8º – Até vigência e eficácia plena da presente norma, especialmente da Tabela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X, criada por esta Lei, mantém-se vigentes e aplicáveis o item 13 da Tabela III, que trata sobre o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Cálculo do ISSQN estimado de construção civil, com as alterações da LCM 098/2015, bem como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dos dispositivos que lhe dão suporte para calcular o tributo, especialmente o Incido II do Art. 211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da LCM 26/03, ficando mantido também no mesmo sentido, transitoriamente, o percentual de 60%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de dedução da base de cálculo do Art. 209, § 8°, da LCM 26/03.</w:t>
      </w:r>
    </w:p>
    <w:p w:rsidR="00B37945" w:rsidRDefault="00B37945" w:rsidP="00B37945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</w:rPr>
      </w:pPr>
      <w:r w:rsidRPr="00B37945">
        <w:rPr>
          <w:rFonts w:ascii="Century Gothic" w:hAnsi="Century Gothic" w:cs="Century Gothic"/>
        </w:rPr>
        <w:t>Art. 9º – A presente lei entra em vigor na data de sua publicação, revogando-se as</w:t>
      </w:r>
      <w:r w:rsidR="00825297">
        <w:rPr>
          <w:rFonts w:ascii="Century Gothic" w:hAnsi="Century Gothic" w:cs="Century Gothic"/>
        </w:rPr>
        <w:t xml:space="preserve"> </w:t>
      </w:r>
      <w:r w:rsidRPr="00B37945">
        <w:rPr>
          <w:rFonts w:ascii="Century Gothic" w:hAnsi="Century Gothic" w:cs="Century Gothic"/>
        </w:rPr>
        <w:t>disposições em contrário.</w:t>
      </w:r>
      <w:r w:rsidRPr="00B37945">
        <w:rPr>
          <w:rFonts w:ascii="Century Gothic" w:hAnsi="Century Gothic" w:cs="Century Gothic"/>
        </w:rPr>
        <w:cr/>
      </w:r>
    </w:p>
    <w:p w:rsidR="00825297" w:rsidRDefault="00825297" w:rsidP="00DA3051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/>
          <w:b/>
        </w:rPr>
      </w:pPr>
    </w:p>
    <w:p w:rsidR="00B047BA" w:rsidRPr="00DA3051" w:rsidRDefault="009864C6" w:rsidP="00DA3051">
      <w:pPr>
        <w:pStyle w:val="Corpodetexto"/>
        <w:tabs>
          <w:tab w:val="left" w:pos="1935"/>
        </w:tabs>
        <w:ind w:firstLine="1418"/>
        <w:jc w:val="both"/>
        <w:rPr>
          <w:rFonts w:ascii="Century Gothic" w:hAnsi="Century Gothic" w:cs="Century Gothic"/>
          <w:b/>
        </w:rPr>
      </w:pPr>
      <w:r w:rsidRPr="00DA3051">
        <w:rPr>
          <w:rFonts w:ascii="Century Gothic" w:hAnsi="Century Gothic"/>
          <w:b/>
        </w:rPr>
        <w:t>G</w:t>
      </w:r>
      <w:r w:rsidR="00B047BA" w:rsidRPr="00DA3051">
        <w:rPr>
          <w:rFonts w:ascii="Century Gothic" w:hAnsi="Century Gothic"/>
          <w:b/>
        </w:rPr>
        <w:t xml:space="preserve">ABINETE DO PRESIDENTE, </w:t>
      </w:r>
      <w:r w:rsidR="00DA3051">
        <w:rPr>
          <w:rFonts w:ascii="Century Gothic" w:hAnsi="Century Gothic"/>
          <w:b/>
        </w:rPr>
        <w:t>em 2</w:t>
      </w:r>
      <w:r w:rsidR="00825297">
        <w:rPr>
          <w:rFonts w:ascii="Century Gothic" w:hAnsi="Century Gothic"/>
          <w:b/>
        </w:rPr>
        <w:t>5</w:t>
      </w:r>
      <w:r w:rsidR="00DA3051">
        <w:rPr>
          <w:rFonts w:ascii="Century Gothic" w:hAnsi="Century Gothic"/>
          <w:b/>
        </w:rPr>
        <w:t xml:space="preserve"> de outubro </w:t>
      </w:r>
      <w:r w:rsidR="00B047BA" w:rsidRPr="00DA3051">
        <w:rPr>
          <w:rFonts w:ascii="Century Gothic" w:hAnsi="Century Gothic"/>
          <w:b/>
        </w:rPr>
        <w:t>de 201</w:t>
      </w:r>
      <w:r w:rsidR="00104869" w:rsidRPr="00DA3051">
        <w:rPr>
          <w:rFonts w:ascii="Century Gothic" w:hAnsi="Century Gothic"/>
          <w:b/>
        </w:rPr>
        <w:t>7</w:t>
      </w:r>
      <w:r w:rsidR="00B047BA" w:rsidRPr="00DA3051">
        <w:rPr>
          <w:rFonts w:ascii="Century Gothic" w:hAnsi="Century Gothic"/>
          <w:b/>
        </w:rPr>
        <w:t>.</w:t>
      </w:r>
    </w:p>
    <w:p w:rsidR="0015331A" w:rsidRPr="00F43984" w:rsidRDefault="0015331A" w:rsidP="00B047BA">
      <w:pPr>
        <w:ind w:firstLine="1410"/>
        <w:jc w:val="both"/>
        <w:rPr>
          <w:rFonts w:ascii="Century Gothic" w:hAnsi="Century Gothic"/>
        </w:rPr>
      </w:pPr>
    </w:p>
    <w:p w:rsidR="0015331A" w:rsidRDefault="0015331A" w:rsidP="00B047BA">
      <w:pPr>
        <w:ind w:firstLine="1410"/>
        <w:jc w:val="both"/>
        <w:rPr>
          <w:rFonts w:ascii="Century Gothic" w:hAnsi="Century Gothic"/>
        </w:rPr>
      </w:pPr>
    </w:p>
    <w:p w:rsidR="000111F5" w:rsidRDefault="000111F5" w:rsidP="00B047BA">
      <w:pPr>
        <w:ind w:firstLine="1410"/>
        <w:jc w:val="both"/>
        <w:rPr>
          <w:rFonts w:ascii="Century Gothic" w:hAnsi="Century Gothic"/>
        </w:rPr>
      </w:pPr>
    </w:p>
    <w:p w:rsidR="001977F0" w:rsidRPr="00F43984" w:rsidRDefault="001977F0" w:rsidP="00B047BA">
      <w:pPr>
        <w:ind w:firstLine="1410"/>
        <w:jc w:val="both"/>
        <w:rPr>
          <w:rFonts w:ascii="Century Gothic" w:hAnsi="Century Gothic"/>
        </w:rPr>
      </w:pPr>
    </w:p>
    <w:p w:rsidR="0015331A" w:rsidRPr="00F43984" w:rsidRDefault="0015331A" w:rsidP="0015331A">
      <w:pPr>
        <w:jc w:val="center"/>
        <w:rPr>
          <w:rFonts w:ascii="Century Gothic" w:hAnsi="Century Gothic"/>
          <w:b/>
        </w:rPr>
      </w:pPr>
    </w:p>
    <w:p w:rsidR="0015331A" w:rsidRPr="00F43984" w:rsidRDefault="00104869" w:rsidP="0015331A">
      <w:pPr>
        <w:jc w:val="center"/>
        <w:rPr>
          <w:rFonts w:ascii="Century Gothic" w:hAnsi="Century Gothic"/>
          <w:b/>
        </w:rPr>
      </w:pPr>
      <w:r w:rsidRPr="00F43984">
        <w:rPr>
          <w:rFonts w:ascii="Century Gothic" w:hAnsi="Century Gothic"/>
          <w:b/>
        </w:rPr>
        <w:t>PEDRO RAUBER</w:t>
      </w:r>
    </w:p>
    <w:p w:rsidR="00B047BA" w:rsidRPr="00F43984" w:rsidRDefault="0015331A" w:rsidP="00357D96">
      <w:pPr>
        <w:jc w:val="center"/>
        <w:rPr>
          <w:rFonts w:ascii="Century Gothic" w:hAnsi="Century Gothic"/>
          <w:b/>
        </w:rPr>
      </w:pPr>
      <w:r w:rsidRPr="00F43984">
        <w:rPr>
          <w:rFonts w:ascii="Century Gothic" w:hAnsi="Century Gothic"/>
          <w:b/>
        </w:rPr>
        <w:t>Presidente</w:t>
      </w:r>
    </w:p>
    <w:sectPr w:rsidR="00B047BA" w:rsidRPr="00F43984" w:rsidSect="007B44E0">
      <w:headerReference w:type="default" r:id="rId7"/>
      <w:footerReference w:type="default" r:id="rId8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336" w:rsidRDefault="00447336">
      <w:r>
        <w:separator/>
      </w:r>
    </w:p>
  </w:endnote>
  <w:endnote w:type="continuationSeparator" w:id="0">
    <w:p w:rsidR="00447336" w:rsidRDefault="0044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336" w:rsidRDefault="00447336">
      <w:r>
        <w:separator/>
      </w:r>
    </w:p>
  </w:footnote>
  <w:footnote w:type="continuationSeparator" w:id="0">
    <w:p w:rsidR="00447336" w:rsidRDefault="00447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E017E"/>
    <w:multiLevelType w:val="hybridMultilevel"/>
    <w:tmpl w:val="7BDC2864"/>
    <w:lvl w:ilvl="0" w:tplc="FAD4520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F2E537D"/>
    <w:multiLevelType w:val="hybridMultilevel"/>
    <w:tmpl w:val="E76CBC6E"/>
    <w:lvl w:ilvl="0" w:tplc="26A26A7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2145"/>
    <w:rsid w:val="000111F5"/>
    <w:rsid w:val="00033504"/>
    <w:rsid w:val="00033BD7"/>
    <w:rsid w:val="00067528"/>
    <w:rsid w:val="0007659F"/>
    <w:rsid w:val="000952AC"/>
    <w:rsid w:val="000A3227"/>
    <w:rsid w:val="000B38EC"/>
    <w:rsid w:val="00104869"/>
    <w:rsid w:val="00123FBD"/>
    <w:rsid w:val="001318C9"/>
    <w:rsid w:val="00143065"/>
    <w:rsid w:val="0015331A"/>
    <w:rsid w:val="00155011"/>
    <w:rsid w:val="00161709"/>
    <w:rsid w:val="001823E0"/>
    <w:rsid w:val="001977F0"/>
    <w:rsid w:val="001C1D2D"/>
    <w:rsid w:val="001F231C"/>
    <w:rsid w:val="001F4F01"/>
    <w:rsid w:val="00266B10"/>
    <w:rsid w:val="00274748"/>
    <w:rsid w:val="00280848"/>
    <w:rsid w:val="002945C1"/>
    <w:rsid w:val="002B018E"/>
    <w:rsid w:val="002C4CE7"/>
    <w:rsid w:val="002C5C5A"/>
    <w:rsid w:val="002D36CF"/>
    <w:rsid w:val="002E4ED9"/>
    <w:rsid w:val="00302AEB"/>
    <w:rsid w:val="00323087"/>
    <w:rsid w:val="00327D1D"/>
    <w:rsid w:val="00357D96"/>
    <w:rsid w:val="00371FF1"/>
    <w:rsid w:val="00385F58"/>
    <w:rsid w:val="00395A20"/>
    <w:rsid w:val="003A111E"/>
    <w:rsid w:val="003D60B4"/>
    <w:rsid w:val="00404D2D"/>
    <w:rsid w:val="00427912"/>
    <w:rsid w:val="00447336"/>
    <w:rsid w:val="00496799"/>
    <w:rsid w:val="004A39A8"/>
    <w:rsid w:val="004B3FD2"/>
    <w:rsid w:val="004C1E57"/>
    <w:rsid w:val="004C5148"/>
    <w:rsid w:val="004E0FB8"/>
    <w:rsid w:val="005031C8"/>
    <w:rsid w:val="00505CFA"/>
    <w:rsid w:val="00541771"/>
    <w:rsid w:val="00560F05"/>
    <w:rsid w:val="00590AD3"/>
    <w:rsid w:val="005A3F31"/>
    <w:rsid w:val="005B35A3"/>
    <w:rsid w:val="005B4D0A"/>
    <w:rsid w:val="005E2301"/>
    <w:rsid w:val="006008B2"/>
    <w:rsid w:val="0060225F"/>
    <w:rsid w:val="0064593F"/>
    <w:rsid w:val="006B5871"/>
    <w:rsid w:val="006F4330"/>
    <w:rsid w:val="00712B20"/>
    <w:rsid w:val="007227D8"/>
    <w:rsid w:val="00750355"/>
    <w:rsid w:val="00751F94"/>
    <w:rsid w:val="00773072"/>
    <w:rsid w:val="00781F0E"/>
    <w:rsid w:val="007843F9"/>
    <w:rsid w:val="00787D06"/>
    <w:rsid w:val="007B44E0"/>
    <w:rsid w:val="00825297"/>
    <w:rsid w:val="008558DB"/>
    <w:rsid w:val="008637C3"/>
    <w:rsid w:val="00863B0D"/>
    <w:rsid w:val="00874A63"/>
    <w:rsid w:val="008864C1"/>
    <w:rsid w:val="008C420C"/>
    <w:rsid w:val="008C7EEE"/>
    <w:rsid w:val="008D0E08"/>
    <w:rsid w:val="009625C7"/>
    <w:rsid w:val="009864C6"/>
    <w:rsid w:val="009875DF"/>
    <w:rsid w:val="00996678"/>
    <w:rsid w:val="009A01E3"/>
    <w:rsid w:val="009C1429"/>
    <w:rsid w:val="009F694D"/>
    <w:rsid w:val="00A109E4"/>
    <w:rsid w:val="00A465EA"/>
    <w:rsid w:val="00A73593"/>
    <w:rsid w:val="00A856BE"/>
    <w:rsid w:val="00A90C1F"/>
    <w:rsid w:val="00A94649"/>
    <w:rsid w:val="00AB003B"/>
    <w:rsid w:val="00AC29C1"/>
    <w:rsid w:val="00AD7CDE"/>
    <w:rsid w:val="00B047BA"/>
    <w:rsid w:val="00B076AF"/>
    <w:rsid w:val="00B136C7"/>
    <w:rsid w:val="00B143E4"/>
    <w:rsid w:val="00B25863"/>
    <w:rsid w:val="00B34CB3"/>
    <w:rsid w:val="00B37945"/>
    <w:rsid w:val="00B6315B"/>
    <w:rsid w:val="00B64E69"/>
    <w:rsid w:val="00B90BFA"/>
    <w:rsid w:val="00BD271D"/>
    <w:rsid w:val="00BD499C"/>
    <w:rsid w:val="00BE6C74"/>
    <w:rsid w:val="00BF4B57"/>
    <w:rsid w:val="00C04C0B"/>
    <w:rsid w:val="00C04DA2"/>
    <w:rsid w:val="00C0589D"/>
    <w:rsid w:val="00C422E0"/>
    <w:rsid w:val="00C5508B"/>
    <w:rsid w:val="00C6410C"/>
    <w:rsid w:val="00C74076"/>
    <w:rsid w:val="00C80591"/>
    <w:rsid w:val="00C9089B"/>
    <w:rsid w:val="00C9626A"/>
    <w:rsid w:val="00CB00B9"/>
    <w:rsid w:val="00CD2A59"/>
    <w:rsid w:val="00CF0237"/>
    <w:rsid w:val="00CF30EA"/>
    <w:rsid w:val="00CF647E"/>
    <w:rsid w:val="00D23B57"/>
    <w:rsid w:val="00D273C5"/>
    <w:rsid w:val="00D37A71"/>
    <w:rsid w:val="00D4197C"/>
    <w:rsid w:val="00D70C6F"/>
    <w:rsid w:val="00D9469A"/>
    <w:rsid w:val="00DA0FB8"/>
    <w:rsid w:val="00DA3051"/>
    <w:rsid w:val="00DD7C8B"/>
    <w:rsid w:val="00DF390F"/>
    <w:rsid w:val="00E0045C"/>
    <w:rsid w:val="00E02F4C"/>
    <w:rsid w:val="00E04CE5"/>
    <w:rsid w:val="00E73FDB"/>
    <w:rsid w:val="00E87A75"/>
    <w:rsid w:val="00E90F64"/>
    <w:rsid w:val="00E91935"/>
    <w:rsid w:val="00EB0D60"/>
    <w:rsid w:val="00EB24B6"/>
    <w:rsid w:val="00EB7B9A"/>
    <w:rsid w:val="00EC2DC6"/>
    <w:rsid w:val="00F07FD8"/>
    <w:rsid w:val="00F12B8D"/>
    <w:rsid w:val="00F20AE6"/>
    <w:rsid w:val="00F43984"/>
    <w:rsid w:val="00F4672D"/>
    <w:rsid w:val="00F901F2"/>
    <w:rsid w:val="00F91E6A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1832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14</cp:revision>
  <cp:lastPrinted>2017-10-24T10:35:00Z</cp:lastPrinted>
  <dcterms:created xsi:type="dcterms:W3CDTF">2017-10-25T10:00:00Z</dcterms:created>
  <dcterms:modified xsi:type="dcterms:W3CDTF">2017-10-25T10:15:00Z</dcterms:modified>
</cp:coreProperties>
</file>