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/>
          <w:sz w:val="24"/>
          <w:szCs w:val="24"/>
        </w:rPr>
      </w:pPr>
      <w:r w:rsidRPr="004C7E82">
        <w:rPr>
          <w:rFonts w:ascii="Century Gothic" w:hAnsi="Century Gothic"/>
          <w:b/>
          <w:sz w:val="24"/>
          <w:szCs w:val="24"/>
        </w:rPr>
        <w:t xml:space="preserve">PROJETO DE LEI </w:t>
      </w:r>
      <w:r w:rsidRPr="004C7E82">
        <w:rPr>
          <w:rFonts w:ascii="Century Gothic" w:hAnsi="Century Gothic" w:cs="Arial"/>
          <w:b/>
          <w:sz w:val="24"/>
          <w:szCs w:val="24"/>
        </w:rPr>
        <w:t xml:space="preserve">Nº </w:t>
      </w:r>
      <w:r w:rsidR="00F31A10">
        <w:rPr>
          <w:rFonts w:ascii="Century Gothic" w:hAnsi="Century Gothic" w:cs="Arial"/>
          <w:b/>
          <w:sz w:val="24"/>
          <w:szCs w:val="24"/>
        </w:rPr>
        <w:t>5</w:t>
      </w:r>
      <w:r w:rsidR="00A53CCA">
        <w:rPr>
          <w:rFonts w:ascii="Century Gothic" w:hAnsi="Century Gothic" w:cs="Arial"/>
          <w:b/>
          <w:sz w:val="24"/>
          <w:szCs w:val="24"/>
        </w:rPr>
        <w:t>3</w:t>
      </w:r>
      <w:r w:rsidRPr="004C7E82">
        <w:rPr>
          <w:rFonts w:ascii="Century Gothic" w:hAnsi="Century Gothic" w:cs="Arial"/>
          <w:b/>
          <w:sz w:val="24"/>
          <w:szCs w:val="24"/>
        </w:rPr>
        <w:t>/2016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4C7E82">
        <w:rPr>
          <w:rFonts w:ascii="Century Gothic" w:hAnsi="Century Gothic" w:cs="Arial"/>
          <w:sz w:val="24"/>
          <w:szCs w:val="24"/>
        </w:rPr>
        <w:t xml:space="preserve">Data: </w:t>
      </w:r>
      <w:r w:rsidR="00F31A10">
        <w:rPr>
          <w:rFonts w:ascii="Century Gothic" w:hAnsi="Century Gothic" w:cs="Arial"/>
          <w:sz w:val="24"/>
          <w:szCs w:val="24"/>
        </w:rPr>
        <w:t xml:space="preserve">30 de setembro </w:t>
      </w:r>
      <w:r w:rsidRPr="004C7E82">
        <w:rPr>
          <w:rFonts w:ascii="Century Gothic" w:hAnsi="Century Gothic" w:cs="Arial"/>
          <w:sz w:val="24"/>
          <w:szCs w:val="24"/>
        </w:rPr>
        <w:t>de 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 w:rsidRPr="004C7E82">
        <w:rPr>
          <w:rFonts w:ascii="Century Gothic" w:hAnsi="Century Gothic"/>
          <w:b/>
          <w:sz w:val="24"/>
          <w:szCs w:val="24"/>
        </w:rPr>
        <w:t>AUTÓGRAFO Nº 0</w:t>
      </w:r>
      <w:r w:rsidR="00A53CCA">
        <w:rPr>
          <w:rFonts w:ascii="Century Gothic" w:hAnsi="Century Gothic"/>
          <w:b/>
          <w:sz w:val="24"/>
          <w:szCs w:val="24"/>
        </w:rPr>
        <w:t>80</w:t>
      </w:r>
      <w:r w:rsidRPr="004C7E82">
        <w:rPr>
          <w:rFonts w:ascii="Century Gothic" w:hAnsi="Century Gothic"/>
          <w:b/>
          <w:sz w:val="24"/>
          <w:szCs w:val="24"/>
        </w:rPr>
        <w:t>/2016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4C7E82">
        <w:rPr>
          <w:rFonts w:ascii="Century Gothic" w:hAnsi="Century Gothic"/>
          <w:sz w:val="24"/>
          <w:szCs w:val="24"/>
        </w:rPr>
        <w:t xml:space="preserve">Data: </w:t>
      </w:r>
      <w:r w:rsidR="00F31A10">
        <w:rPr>
          <w:rFonts w:ascii="Century Gothic" w:hAnsi="Century Gothic"/>
          <w:sz w:val="24"/>
          <w:szCs w:val="24"/>
        </w:rPr>
        <w:t>20</w:t>
      </w:r>
      <w:r w:rsidRPr="004C7E82">
        <w:rPr>
          <w:rFonts w:ascii="Century Gothic" w:hAnsi="Century Gothic"/>
          <w:sz w:val="24"/>
          <w:szCs w:val="24"/>
        </w:rPr>
        <w:t xml:space="preserve"> de dezembro de 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4C7E82">
        <w:rPr>
          <w:rFonts w:ascii="Century Gothic" w:hAnsi="Century Gothic" w:cs="Tahoma"/>
          <w:sz w:val="24"/>
          <w:szCs w:val="24"/>
        </w:rPr>
        <w:t xml:space="preserve">A Câmara Municipal de Marechal Cândido Rondon, Estado do Paraná, em sessões ordinárias e por </w:t>
      </w:r>
      <w:r w:rsidR="00F31A10">
        <w:rPr>
          <w:rFonts w:ascii="Century Gothic" w:hAnsi="Century Gothic" w:cs="Tahoma"/>
          <w:sz w:val="24"/>
          <w:szCs w:val="24"/>
        </w:rPr>
        <w:t>unanimidade dos presentes</w:t>
      </w:r>
      <w:r w:rsidRPr="004C7E82">
        <w:rPr>
          <w:rFonts w:ascii="Century Gothic" w:hAnsi="Century Gothic" w:cs="Tahoma"/>
          <w:sz w:val="24"/>
          <w:szCs w:val="24"/>
        </w:rPr>
        <w:t>, aprovou</w:t>
      </w: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sz w:val="24"/>
          <w:szCs w:val="24"/>
        </w:rPr>
      </w:pPr>
    </w:p>
    <w:p w:rsidR="004C7E82" w:rsidRPr="004C7E82" w:rsidRDefault="00F31A10" w:rsidP="004C7E82">
      <w:pPr>
        <w:pStyle w:val="SemEspaamento"/>
        <w:ind w:left="3969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DISPÕE SOBRE A ALTERAÇÃO DA LEI Nº 4.</w:t>
      </w:r>
      <w:r w:rsidR="00A53CCA">
        <w:rPr>
          <w:rFonts w:ascii="Century Gothic" w:hAnsi="Century Gothic" w:cs="Arial"/>
          <w:b/>
          <w:sz w:val="24"/>
          <w:szCs w:val="24"/>
        </w:rPr>
        <w:t>867</w:t>
      </w:r>
      <w:r>
        <w:rPr>
          <w:rFonts w:ascii="Century Gothic" w:hAnsi="Century Gothic" w:cs="Arial"/>
          <w:b/>
          <w:sz w:val="24"/>
          <w:szCs w:val="24"/>
        </w:rPr>
        <w:t xml:space="preserve">, DE </w:t>
      </w:r>
      <w:r w:rsidR="00A53CCA">
        <w:rPr>
          <w:rFonts w:ascii="Century Gothic" w:hAnsi="Century Gothic" w:cs="Arial"/>
          <w:b/>
          <w:sz w:val="24"/>
          <w:szCs w:val="24"/>
        </w:rPr>
        <w:t xml:space="preserve">13 DE JULHO DE 2016 – LEI DE DIRETRIZES ORÇAMENTÁRIAS DA ADMINISTRAÇÃO DIRETA E INDIRETA DO MUNICÍPIO DE </w:t>
      </w:r>
      <w:r>
        <w:rPr>
          <w:rFonts w:ascii="Century Gothic" w:hAnsi="Century Gothic" w:cs="Arial"/>
          <w:b/>
          <w:sz w:val="24"/>
          <w:szCs w:val="24"/>
        </w:rPr>
        <w:t>MARECHAL CÂNDIDO RONDON PARA O EXERCÍCIO DE 2017, E DÁ OUTRAS PROVIDÊNCIAS.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sz w:val="24"/>
          <w:szCs w:val="24"/>
        </w:rPr>
      </w:pPr>
    </w:p>
    <w:p w:rsidR="00141DCA" w:rsidRDefault="00141DCA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A53CCA" w:rsidRPr="00A53CCA" w:rsidRDefault="00A53CCA" w:rsidP="00A53CCA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53CCA">
        <w:rPr>
          <w:rFonts w:ascii="Century Gothic" w:hAnsi="Century Gothic" w:cs="Century Gothic"/>
          <w:sz w:val="24"/>
          <w:szCs w:val="24"/>
        </w:rPr>
        <w:t>Art. 1º -  O Anexo I - Adendos 1, 3 e 6 e os seus Demonstrativos 2,</w:t>
      </w:r>
      <w:r w:rsidR="00FE6045">
        <w:rPr>
          <w:rFonts w:ascii="Century Gothic" w:hAnsi="Century Gothic" w:cs="Century Gothic"/>
          <w:sz w:val="24"/>
          <w:szCs w:val="24"/>
        </w:rPr>
        <w:t xml:space="preserve"> </w:t>
      </w:r>
      <w:r w:rsidRPr="00A53CCA">
        <w:rPr>
          <w:rFonts w:ascii="Century Gothic" w:hAnsi="Century Gothic" w:cs="Century Gothic"/>
          <w:sz w:val="24"/>
          <w:szCs w:val="24"/>
        </w:rPr>
        <w:t>3 e 4, o Anexo II e o Anexo III da Lei nº 4.867, de 13 de julho de 2016 passam a vigorar de acordo com os Anexos desta Lei.</w:t>
      </w:r>
    </w:p>
    <w:p w:rsidR="00A53CCA" w:rsidRPr="00A53CCA" w:rsidRDefault="00A53CCA" w:rsidP="00A53CCA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A53CCA" w:rsidRPr="00A53CCA" w:rsidRDefault="00A53CCA" w:rsidP="00A53CCA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53CCA">
        <w:rPr>
          <w:rFonts w:ascii="Century Gothic" w:hAnsi="Century Gothic" w:cs="Century Gothic"/>
          <w:sz w:val="24"/>
          <w:szCs w:val="24"/>
        </w:rPr>
        <w:t>Art. 2º -  A Lei nº</w:t>
      </w:r>
      <w:bookmarkStart w:id="0" w:name="_GoBack"/>
      <w:bookmarkEnd w:id="0"/>
      <w:r w:rsidRPr="00A53CCA">
        <w:rPr>
          <w:rFonts w:ascii="Century Gothic" w:hAnsi="Century Gothic" w:cs="Century Gothic"/>
          <w:sz w:val="24"/>
          <w:szCs w:val="24"/>
        </w:rPr>
        <w:t xml:space="preserve"> 4.867, de 13 de julho de 2016 passa a vigorar com as seguintes alterações:</w:t>
      </w:r>
    </w:p>
    <w:p w:rsidR="00A53CCA" w:rsidRPr="00A53CCA" w:rsidRDefault="00A53CCA" w:rsidP="00A53CCA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>Art. 31 - A despesa total com pessoal da Administração Direta e Indireta do Município, para o exercício de 2017, observará os limites estabelecidos na Lei Complementar nº 101, de 4 de maio de 2000, assegurada a revisão geral anual, conforme dispõe o inciso X do Art. 37 da Constituição Federal.</w:t>
      </w: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>Art. 33 - O Executivo e o Legislativo Municipal, integrantes da Administração Direta e os órgãos, fundações, autarquias e demais entidades da Administração Indireta, mediante lei autorizadora, poderão em 2017, criar cargos, empregos e funções, alterar a estrutura administrativa e de carreiras, corrigir ou aumentar a remuneração dos servidores, conceder vantagens, admitir pessoal aprovado em concurso público ou em caráter temporário na forma da lei, condicionado as seguintes exigências:</w:t>
      </w: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>...............................................</w:t>
      </w: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 xml:space="preserve">Art. 34 - O Executivo e o Legislativo Municipal, integrantes da Administração Direta e os órgãos, fundações, autarquias e demais </w:t>
      </w:r>
      <w:r w:rsidRPr="00A53CCA">
        <w:rPr>
          <w:rFonts w:ascii="Century Gothic" w:hAnsi="Century Gothic" w:cs="Century Gothic"/>
          <w:i/>
          <w:sz w:val="24"/>
          <w:szCs w:val="24"/>
        </w:rPr>
        <w:lastRenderedPageBreak/>
        <w:t>entidades da Administração Indireta são autorizados a promover as alterações e adequações na legislação de pessoal e nas estruturas dos quadros de pessoal, com objetivo de modernizar e conferir maior eficiência e eficácia nas ações institucionais e na prestação de serviços públicos, desde que observado o que dispõe o Art. 17 da Lei de Responsabilidade Fiscal.</w:t>
      </w: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>Art. 40 - Na execução do orçamento, verificado que o comportamento da receita poderá afetar as metas estabelecidas, os Poderes Legislativo e Executivo e os integrantes da Administração Indireta, de forma proporcional às suas dotações, adotarão o mecanismo da limitação de empenhos e movimentação financeira no montante necessário, para dentre outras, as seguintes despesas abaixo (Art. 9° da LRF).</w:t>
      </w: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 xml:space="preserve">Art. 59-A. Nos termos dos </w:t>
      </w:r>
      <w:proofErr w:type="spellStart"/>
      <w:r w:rsidRPr="00A53CCA">
        <w:rPr>
          <w:rFonts w:ascii="Century Gothic" w:hAnsi="Century Gothic" w:cs="Century Gothic"/>
          <w:i/>
          <w:sz w:val="24"/>
          <w:szCs w:val="24"/>
        </w:rPr>
        <w:t>Arts</w:t>
      </w:r>
      <w:proofErr w:type="spellEnd"/>
      <w:r w:rsidRPr="00A53CCA">
        <w:rPr>
          <w:rFonts w:ascii="Century Gothic" w:hAnsi="Century Gothic" w:cs="Century Gothic"/>
          <w:i/>
          <w:sz w:val="24"/>
          <w:szCs w:val="24"/>
        </w:rPr>
        <w:t xml:space="preserve">. 7º, 42 e 43, da Lei Federal nº 4.320, de 17 de </w:t>
      </w:r>
      <w:proofErr w:type="gramStart"/>
      <w:r w:rsidRPr="00A53CCA">
        <w:rPr>
          <w:rFonts w:ascii="Century Gothic" w:hAnsi="Century Gothic" w:cs="Century Gothic"/>
          <w:i/>
          <w:sz w:val="24"/>
          <w:szCs w:val="24"/>
        </w:rPr>
        <w:t>Março</w:t>
      </w:r>
      <w:proofErr w:type="gramEnd"/>
      <w:r w:rsidRPr="00A53CCA">
        <w:rPr>
          <w:rFonts w:ascii="Century Gothic" w:hAnsi="Century Gothic" w:cs="Century Gothic"/>
          <w:i/>
          <w:sz w:val="24"/>
          <w:szCs w:val="24"/>
        </w:rPr>
        <w:t xml:space="preserve"> de 1964, ficam os integrantes da Administração Indireta autorizados a abrir créditos adicionais suplementares, para o exercício de 2017, até o limite que será determinado na Lei Orçamentária Anual, por superávit financeiro, excesso de arrecadação e anulação parcial ou total de dotações orçamentárias.</w:t>
      </w: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 xml:space="preserve">§ 1º A suplementação do orçamento até o limite autorizado na Lei Orçamentária Anual não será </w:t>
      </w:r>
      <w:proofErr w:type="gramStart"/>
      <w:r w:rsidRPr="00A53CCA">
        <w:rPr>
          <w:rFonts w:ascii="Century Gothic" w:hAnsi="Century Gothic" w:cs="Century Gothic"/>
          <w:i/>
          <w:sz w:val="24"/>
          <w:szCs w:val="24"/>
        </w:rPr>
        <w:t>onerado</w:t>
      </w:r>
      <w:proofErr w:type="gramEnd"/>
      <w:r w:rsidRPr="00A53CCA">
        <w:rPr>
          <w:rFonts w:ascii="Century Gothic" w:hAnsi="Century Gothic" w:cs="Century Gothic"/>
          <w:i/>
          <w:sz w:val="24"/>
          <w:szCs w:val="24"/>
        </w:rPr>
        <w:t xml:space="preserve"> quando o crédito se destinar a:</w:t>
      </w: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 xml:space="preserve">I - </w:t>
      </w:r>
      <w:proofErr w:type="gramStart"/>
      <w:r w:rsidRPr="00A53CCA">
        <w:rPr>
          <w:rFonts w:ascii="Century Gothic" w:hAnsi="Century Gothic" w:cs="Century Gothic"/>
          <w:i/>
          <w:sz w:val="24"/>
          <w:szCs w:val="24"/>
        </w:rPr>
        <w:t>suplementar</w:t>
      </w:r>
      <w:proofErr w:type="gramEnd"/>
      <w:r w:rsidRPr="00A53CCA">
        <w:rPr>
          <w:rFonts w:ascii="Century Gothic" w:hAnsi="Century Gothic" w:cs="Century Gothic"/>
          <w:i/>
          <w:sz w:val="24"/>
          <w:szCs w:val="24"/>
        </w:rPr>
        <w:t xml:space="preserve"> dotações com recursos do superávit financeiro;</w:t>
      </w: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 xml:space="preserve">II - </w:t>
      </w:r>
      <w:proofErr w:type="gramStart"/>
      <w:r w:rsidRPr="00A53CCA">
        <w:rPr>
          <w:rFonts w:ascii="Century Gothic" w:hAnsi="Century Gothic" w:cs="Century Gothic"/>
          <w:i/>
          <w:sz w:val="24"/>
          <w:szCs w:val="24"/>
        </w:rPr>
        <w:t>suplementar</w:t>
      </w:r>
      <w:proofErr w:type="gramEnd"/>
      <w:r w:rsidRPr="00A53CCA">
        <w:rPr>
          <w:rFonts w:ascii="Century Gothic" w:hAnsi="Century Gothic" w:cs="Century Gothic"/>
          <w:i/>
          <w:sz w:val="24"/>
          <w:szCs w:val="24"/>
        </w:rPr>
        <w:t xml:space="preserve"> dotações com recursos do excesso ou provável excesso de arrecadação do exercício corrente;</w:t>
      </w: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>III - suplementar dotações com recursos de operações de crédito autorizadas;</w:t>
      </w: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 xml:space="preserve">IV - </w:t>
      </w:r>
      <w:proofErr w:type="gramStart"/>
      <w:r w:rsidRPr="00A53CCA">
        <w:rPr>
          <w:rFonts w:ascii="Century Gothic" w:hAnsi="Century Gothic" w:cs="Century Gothic"/>
          <w:i/>
          <w:sz w:val="24"/>
          <w:szCs w:val="24"/>
        </w:rPr>
        <w:t>suplementar</w:t>
      </w:r>
      <w:proofErr w:type="gramEnd"/>
      <w:r w:rsidRPr="00A53CCA">
        <w:rPr>
          <w:rFonts w:ascii="Century Gothic" w:hAnsi="Century Gothic" w:cs="Century Gothic"/>
          <w:i/>
          <w:sz w:val="24"/>
          <w:szCs w:val="24"/>
        </w:rPr>
        <w:t xml:space="preserve"> dotações para atender despesas com pessoal e encargos sociais, com amortização e encargos da dívida pública e com sentenças judiciais;</w:t>
      </w: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 xml:space="preserve">V - </w:t>
      </w:r>
      <w:proofErr w:type="gramStart"/>
      <w:r w:rsidRPr="00A53CCA">
        <w:rPr>
          <w:rFonts w:ascii="Century Gothic" w:hAnsi="Century Gothic" w:cs="Century Gothic"/>
          <w:i/>
          <w:sz w:val="24"/>
          <w:szCs w:val="24"/>
        </w:rPr>
        <w:t>suplementar</w:t>
      </w:r>
      <w:proofErr w:type="gramEnd"/>
      <w:r w:rsidRPr="00A53CCA">
        <w:rPr>
          <w:rFonts w:ascii="Century Gothic" w:hAnsi="Century Gothic" w:cs="Century Gothic"/>
          <w:i/>
          <w:sz w:val="24"/>
          <w:szCs w:val="24"/>
        </w:rPr>
        <w:t xml:space="preserve"> dotações de projetos, atividades e operações especiais com recursos decorrentes do ingresso e do excesso de arrecadação de recursos provenientes de convênios, de fontes vinculadas, desde que as ações a serem executadas estejam em conformidade com esta lei e com o Plano Plurianual;</w:t>
      </w: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 xml:space="preserve">VI - </w:t>
      </w:r>
      <w:proofErr w:type="gramStart"/>
      <w:r w:rsidRPr="00A53CCA">
        <w:rPr>
          <w:rFonts w:ascii="Century Gothic" w:hAnsi="Century Gothic" w:cs="Century Gothic"/>
          <w:i/>
          <w:sz w:val="24"/>
          <w:szCs w:val="24"/>
        </w:rPr>
        <w:t>suplementar</w:t>
      </w:r>
      <w:proofErr w:type="gramEnd"/>
      <w:r w:rsidRPr="00A53CCA">
        <w:rPr>
          <w:rFonts w:ascii="Century Gothic" w:hAnsi="Century Gothic" w:cs="Century Gothic"/>
          <w:i/>
          <w:sz w:val="24"/>
          <w:szCs w:val="24"/>
        </w:rPr>
        <w:t xml:space="preserve"> dotações para o cumprimento de convênios, acordos, não previstos ou com insuficiência de dotação, tendo como limite o valor anual dos respectivos instrumentos jurídicos celebrados.</w:t>
      </w: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>§ 2º Ficam autorizado igualmente a proceder os ajustes dos valores constantes do Anexo II desta Lei, quando da abertura de créditos adicionais suplementares, nos mesmos valores e percentuais autorizados na Lei Orçamentária.</w:t>
      </w: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>Art. 58 - O orçamento da Fundação Promotora de Eventos de Marechal Cândido Rondon - PROEM, de natureza fundacional, conterá:</w:t>
      </w: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>......................................</w:t>
      </w: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>II - ........................</w:t>
      </w: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>a) as ações que serão desenvolvidas através da Fundação;</w:t>
      </w: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>..............................................</w:t>
      </w: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</w:p>
    <w:p w:rsidR="00A53CCA" w:rsidRPr="00A53CCA" w:rsidRDefault="00A53CCA" w:rsidP="00A53CCA">
      <w:pPr>
        <w:pStyle w:val="SemEspaamento"/>
        <w:ind w:left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A53CCA">
        <w:rPr>
          <w:rFonts w:ascii="Century Gothic" w:hAnsi="Century Gothic" w:cs="Century Gothic"/>
          <w:i/>
          <w:sz w:val="24"/>
          <w:szCs w:val="24"/>
        </w:rPr>
        <w:t xml:space="preserve">Art. 59 - A elaboração e execução do orçamento da PROEM obedecerá às disposições da Lei Federal nº. 4.320, de 17 de </w:t>
      </w:r>
      <w:proofErr w:type="gramStart"/>
      <w:r w:rsidRPr="00A53CCA">
        <w:rPr>
          <w:rFonts w:ascii="Century Gothic" w:hAnsi="Century Gothic" w:cs="Century Gothic"/>
          <w:i/>
          <w:sz w:val="24"/>
          <w:szCs w:val="24"/>
        </w:rPr>
        <w:t>Março</w:t>
      </w:r>
      <w:proofErr w:type="gramEnd"/>
      <w:r w:rsidRPr="00A53CCA">
        <w:rPr>
          <w:rFonts w:ascii="Century Gothic" w:hAnsi="Century Gothic" w:cs="Century Gothic"/>
          <w:i/>
          <w:sz w:val="24"/>
          <w:szCs w:val="24"/>
        </w:rPr>
        <w:t xml:space="preserve"> de 1964 e demais normas pertinentes.</w:t>
      </w:r>
    </w:p>
    <w:p w:rsidR="00A53CCA" w:rsidRPr="00A53CCA" w:rsidRDefault="00A53CCA" w:rsidP="00A53CCA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47261A" w:rsidRDefault="00A53CCA" w:rsidP="00A53CCA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A53CCA">
        <w:rPr>
          <w:rFonts w:ascii="Century Gothic" w:hAnsi="Century Gothic" w:cs="Century Gothic"/>
          <w:sz w:val="24"/>
          <w:szCs w:val="24"/>
        </w:rPr>
        <w:t>Art. 3º -  Esta Lei entra em vigor na data de sua publicação.</w:t>
      </w:r>
    </w:p>
    <w:p w:rsidR="00A53CCA" w:rsidRDefault="00A53CCA" w:rsidP="004C7E82">
      <w:pPr>
        <w:pStyle w:val="SemEspaamento"/>
        <w:ind w:firstLine="1134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 w:cs="Arial"/>
          <w:bCs/>
          <w:sz w:val="24"/>
          <w:szCs w:val="24"/>
        </w:rPr>
      </w:pPr>
      <w:r w:rsidRPr="004C7E82">
        <w:rPr>
          <w:rFonts w:ascii="Century Gothic" w:hAnsi="Century Gothic" w:cs="Arial"/>
          <w:bCs/>
          <w:sz w:val="24"/>
          <w:szCs w:val="24"/>
        </w:rPr>
        <w:t xml:space="preserve">GABINETE DO PRESIDENTE, em </w:t>
      </w:r>
      <w:r w:rsidR="00F31A10">
        <w:rPr>
          <w:rFonts w:ascii="Century Gothic" w:hAnsi="Century Gothic" w:cs="Arial"/>
          <w:bCs/>
          <w:sz w:val="24"/>
          <w:szCs w:val="24"/>
        </w:rPr>
        <w:t>20</w:t>
      </w:r>
      <w:r w:rsidRPr="004C7E82">
        <w:rPr>
          <w:rFonts w:ascii="Century Gothic" w:hAnsi="Century Gothic" w:cs="Arial"/>
          <w:bCs/>
          <w:sz w:val="24"/>
          <w:szCs w:val="24"/>
        </w:rPr>
        <w:t xml:space="preserve"> de dezembro de 2016.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4C7E82">
        <w:rPr>
          <w:rFonts w:ascii="Century Gothic" w:hAnsi="Century Gothic" w:cs="Arial"/>
          <w:b/>
          <w:bCs/>
          <w:sz w:val="24"/>
          <w:szCs w:val="24"/>
        </w:rPr>
        <w:t>JOÃO MARCOS GOMES</w:t>
      </w: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Century Gothic"/>
          <w:sz w:val="24"/>
          <w:szCs w:val="24"/>
        </w:rPr>
      </w:pPr>
      <w:r w:rsidRPr="004C7E82">
        <w:rPr>
          <w:rFonts w:ascii="Century Gothic" w:hAnsi="Century Gothic" w:cs="Arial"/>
          <w:bCs/>
          <w:sz w:val="24"/>
          <w:szCs w:val="24"/>
        </w:rPr>
        <w:t>Presidente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FE7407" w:rsidRPr="004C7E82" w:rsidRDefault="00FE7407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sectPr w:rsidR="00FE7407" w:rsidRPr="004C7E82" w:rsidSect="00107FA8">
      <w:headerReference w:type="default" r:id="rId7"/>
      <w:footerReference w:type="default" r:id="rId8"/>
      <w:pgSz w:w="11906" w:h="16838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D70" w:rsidRDefault="00953D70" w:rsidP="003C0F2A">
      <w:pPr>
        <w:spacing w:after="0" w:line="240" w:lineRule="auto"/>
      </w:pPr>
      <w:r>
        <w:separator/>
      </w:r>
    </w:p>
  </w:endnote>
  <w:endnote w:type="continuationSeparator" w:id="0">
    <w:p w:rsidR="00953D70" w:rsidRDefault="00953D70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24765</wp:posOffset>
          </wp:positionV>
          <wp:extent cx="7200265" cy="371475"/>
          <wp:effectExtent l="19050" t="0" r="635" b="0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D70" w:rsidRDefault="00953D70" w:rsidP="003C0F2A">
      <w:pPr>
        <w:spacing w:after="0" w:line="240" w:lineRule="auto"/>
      </w:pPr>
      <w:r>
        <w:separator/>
      </w:r>
    </w:p>
  </w:footnote>
  <w:footnote w:type="continuationSeparator" w:id="0">
    <w:p w:rsidR="00953D70" w:rsidRDefault="00953D70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053947"/>
    <w:rsid w:val="00107FA8"/>
    <w:rsid w:val="00141DCA"/>
    <w:rsid w:val="00320E21"/>
    <w:rsid w:val="003C026D"/>
    <w:rsid w:val="003C0F2A"/>
    <w:rsid w:val="00423E8E"/>
    <w:rsid w:val="0047261A"/>
    <w:rsid w:val="004A7754"/>
    <w:rsid w:val="004B0819"/>
    <w:rsid w:val="004B7026"/>
    <w:rsid w:val="004B7DE2"/>
    <w:rsid w:val="004C7E82"/>
    <w:rsid w:val="00520485"/>
    <w:rsid w:val="005E2E9E"/>
    <w:rsid w:val="00610656"/>
    <w:rsid w:val="006F4917"/>
    <w:rsid w:val="00722952"/>
    <w:rsid w:val="00947A7C"/>
    <w:rsid w:val="00953D70"/>
    <w:rsid w:val="009C46F7"/>
    <w:rsid w:val="009E48AB"/>
    <w:rsid w:val="00A42075"/>
    <w:rsid w:val="00A53CCA"/>
    <w:rsid w:val="00B87CFD"/>
    <w:rsid w:val="00BC5566"/>
    <w:rsid w:val="00CE57DB"/>
    <w:rsid w:val="00D83FC3"/>
    <w:rsid w:val="00DC091F"/>
    <w:rsid w:val="00E23BA3"/>
    <w:rsid w:val="00EC1AAF"/>
    <w:rsid w:val="00F276E3"/>
    <w:rsid w:val="00F31A10"/>
    <w:rsid w:val="00FB44A7"/>
    <w:rsid w:val="00FC6CC8"/>
    <w:rsid w:val="00FE6045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C7E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F2A"/>
  </w:style>
  <w:style w:type="paragraph" w:styleId="Rodap">
    <w:name w:val="footer"/>
    <w:basedOn w:val="Normal"/>
    <w:link w:val="Rodap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paragraph" w:customStyle="1" w:styleId="Recuodecorpodetexto22">
    <w:name w:val="Recuo de corpo de texto 22"/>
    <w:basedOn w:val="Normal"/>
    <w:rsid w:val="004C7E82"/>
    <w:pPr>
      <w:widowControl w:val="0"/>
      <w:tabs>
        <w:tab w:val="left" w:pos="9214"/>
      </w:tabs>
      <w:suppressAutoHyphens/>
      <w:overflowPunct w:val="0"/>
      <w:autoSpaceDE w:val="0"/>
      <w:spacing w:after="0" w:line="240" w:lineRule="auto"/>
      <w:ind w:right="28" w:firstLine="1418"/>
      <w:jc w:val="both"/>
      <w:textAlignment w:val="baseline"/>
    </w:pPr>
    <w:rPr>
      <w:rFonts w:ascii="Century Gothic" w:eastAsia="Lucida Sans Unicode" w:hAnsi="Century Gothic" w:cs="Century Gothic"/>
      <w:kern w:val="1"/>
      <w:szCs w:val="20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4C7E8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739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 Carlos Diesel</cp:lastModifiedBy>
  <cp:revision>4</cp:revision>
  <cp:lastPrinted>2016-12-13T15:58:00Z</cp:lastPrinted>
  <dcterms:created xsi:type="dcterms:W3CDTF">2016-12-20T12:29:00Z</dcterms:created>
  <dcterms:modified xsi:type="dcterms:W3CDTF">2016-12-20T12:33:00Z</dcterms:modified>
</cp:coreProperties>
</file>